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FB" w:rsidRPr="00223A67" w:rsidRDefault="008A30FB" w:rsidP="008A30FB">
      <w:pPr>
        <w:pStyle w:val="AralkYok"/>
        <w:jc w:val="center"/>
        <w:rPr>
          <w:noProof/>
          <w:sz w:val="18"/>
          <w:szCs w:val="18"/>
          <w:lang w:val="tr-TR"/>
        </w:rPr>
      </w:pPr>
      <w:r w:rsidRPr="00223A67">
        <w:rPr>
          <w:rFonts w:cs="Times New Roman"/>
          <w:b/>
          <w:noProof/>
          <w:sz w:val="18"/>
          <w:szCs w:val="18"/>
          <w:lang w:val="tr-TR"/>
        </w:rPr>
        <w:t xml:space="preserve">İHSAN DOĞRAMACI BİLKENT ÜNİVERSİTESİ </w:t>
      </w:r>
      <w:r w:rsidRPr="00223A67">
        <w:rPr>
          <w:b/>
          <w:noProof/>
          <w:sz w:val="18"/>
          <w:szCs w:val="18"/>
          <w:lang w:val="tr-TR"/>
        </w:rPr>
        <w:t>–</w:t>
      </w:r>
      <w:r w:rsidRPr="00223A67">
        <w:rPr>
          <w:rFonts w:cs="Times New Roman"/>
          <w:b/>
          <w:noProof/>
          <w:sz w:val="18"/>
          <w:szCs w:val="18"/>
          <w:lang w:val="tr-TR"/>
        </w:rPr>
        <w:t xml:space="preserve"> </w:t>
      </w:r>
      <w:r w:rsidRPr="00223A67">
        <w:rPr>
          <w:b/>
          <w:noProof/>
          <w:sz w:val="18"/>
          <w:szCs w:val="18"/>
          <w:lang w:val="tr-TR"/>
        </w:rPr>
        <w:t>ÇANKAYA ÜNİVERSİTESİ</w:t>
      </w:r>
    </w:p>
    <w:p w:rsidR="008A30FB" w:rsidRPr="00223A67" w:rsidRDefault="008A30FB" w:rsidP="008A30FB">
      <w:pPr>
        <w:pStyle w:val="AralkYok"/>
        <w:jc w:val="center"/>
        <w:rPr>
          <w:b/>
          <w:noProof/>
          <w:sz w:val="18"/>
          <w:szCs w:val="18"/>
          <w:lang w:val="tr-TR"/>
        </w:rPr>
      </w:pPr>
      <w:r w:rsidRPr="00223A67">
        <w:rPr>
          <w:rFonts w:cs="Times New Roman"/>
          <w:b/>
          <w:noProof/>
          <w:sz w:val="18"/>
          <w:szCs w:val="18"/>
          <w:lang w:val="tr-TR"/>
        </w:rPr>
        <w:t>KÜTÜPHANELERİ ÖDÜNÇ VERME FORMU</w:t>
      </w:r>
    </w:p>
    <w:p w:rsidR="008A30FB" w:rsidRPr="00223A67" w:rsidRDefault="008A30FB" w:rsidP="008A30FB">
      <w:pPr>
        <w:pStyle w:val="ListeParagraf"/>
        <w:ind w:left="0"/>
        <w:jc w:val="center"/>
        <w:rPr>
          <w:b/>
          <w:noProof/>
          <w:sz w:val="18"/>
          <w:szCs w:val="18"/>
        </w:rPr>
      </w:pPr>
    </w:p>
    <w:p w:rsidR="008A30FB" w:rsidRPr="00223A67" w:rsidRDefault="008A30FB" w:rsidP="008A30FB">
      <w:pPr>
        <w:pStyle w:val="ListeParagraf"/>
        <w:ind w:left="0"/>
        <w:jc w:val="center"/>
        <w:rPr>
          <w:b/>
          <w:noProof/>
          <w:sz w:val="18"/>
          <w:szCs w:val="18"/>
        </w:rPr>
      </w:pPr>
    </w:p>
    <w:tbl>
      <w:tblPr>
        <w:tblW w:w="10052" w:type="dxa"/>
        <w:jc w:val="center"/>
        <w:tblLayout w:type="fixed"/>
        <w:tblCellMar>
          <w:left w:w="10" w:type="dxa"/>
          <w:right w:w="10" w:type="dxa"/>
        </w:tblCellMar>
        <w:tblLook w:val="04A0" w:firstRow="1" w:lastRow="0" w:firstColumn="1" w:lastColumn="0" w:noHBand="0" w:noVBand="1"/>
      </w:tblPr>
      <w:tblGrid>
        <w:gridCol w:w="5412"/>
        <w:gridCol w:w="4640"/>
      </w:tblGrid>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Soyadı / Surname</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Adı / First Name</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Ünvanı / Title</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T.C Numarası/ ID Number</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Pasaport Numarası/ Passport Number</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Sicil Numarası / ID Number</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Bölümü / Department</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E-posta Adresi / E-mail Address</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İş Adresi / Work Address</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İş Telefonu / Work Phone</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Ev Adresi / Home Address</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Ev Telefonu / Home Phone</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100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p w:rsidR="008A30FB" w:rsidRPr="00223A67" w:rsidRDefault="008A30FB" w:rsidP="00621B96">
            <w:pPr>
              <w:pStyle w:val="ListeParagraf"/>
              <w:ind w:left="0"/>
              <w:jc w:val="center"/>
              <w:rPr>
                <w:b/>
                <w:noProof/>
                <w:sz w:val="18"/>
                <w:szCs w:val="18"/>
              </w:rPr>
            </w:pPr>
            <w:r w:rsidRPr="00223A67">
              <w:rPr>
                <w:b/>
                <w:noProof/>
                <w:sz w:val="18"/>
                <w:szCs w:val="18"/>
              </w:rPr>
              <w:t>Protokol kurallarına uyacağımı taahhüt ederim.</w:t>
            </w:r>
          </w:p>
          <w:p w:rsidR="008A30FB" w:rsidRPr="00223A67" w:rsidRDefault="008A30FB" w:rsidP="00621B96">
            <w:pPr>
              <w:pStyle w:val="ListeParagraf"/>
              <w:ind w:left="0"/>
              <w:jc w:val="center"/>
              <w:rPr>
                <w:b/>
                <w:noProof/>
                <w:sz w:val="18"/>
                <w:szCs w:val="18"/>
              </w:rPr>
            </w:pPr>
            <w:r w:rsidRPr="00223A67">
              <w:rPr>
                <w:b/>
                <w:noProof/>
                <w:sz w:val="18"/>
                <w:szCs w:val="18"/>
              </w:rPr>
              <w:t>I agre</w:t>
            </w:r>
            <w:r>
              <w:rPr>
                <w:b/>
                <w:noProof/>
                <w:sz w:val="18"/>
                <w:szCs w:val="18"/>
              </w:rPr>
              <w:t>e</w:t>
            </w:r>
            <w:r w:rsidRPr="00223A67">
              <w:rPr>
                <w:b/>
                <w:noProof/>
                <w:sz w:val="18"/>
                <w:szCs w:val="18"/>
              </w:rPr>
              <w:t xml:space="preserve"> to abide by the conditions of the protocol.</w:t>
            </w:r>
          </w:p>
          <w:p w:rsidR="008A30FB" w:rsidRPr="00223A67" w:rsidRDefault="008A30FB" w:rsidP="00621B96">
            <w:pPr>
              <w:pStyle w:val="ListeParagraf"/>
              <w:ind w:left="0"/>
              <w:jc w:val="center"/>
              <w:rPr>
                <w:b/>
                <w:noProof/>
                <w:sz w:val="18"/>
                <w:szCs w:val="18"/>
              </w:rPr>
            </w:pPr>
            <w:r w:rsidRPr="00223A67">
              <w:rPr>
                <w:b/>
                <w:noProof/>
                <w:sz w:val="18"/>
                <w:szCs w:val="18"/>
              </w:rPr>
              <w:t>İmza / Signature</w:t>
            </w:r>
          </w:p>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Öğretim Yılı / Academic Year</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Sömestr / Term</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100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r w:rsidRPr="00223A67">
              <w:rPr>
                <w:b/>
                <w:noProof/>
                <w:sz w:val="18"/>
                <w:szCs w:val="18"/>
              </w:rPr>
              <w:t>Sorumlu Kütüphaneci / Librarian</w:t>
            </w: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Soyadı / Surname</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Adı / First Name</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Tarih / Date</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r w:rsidR="008A30FB" w:rsidRPr="00223A67" w:rsidTr="00621B96">
        <w:trPr>
          <w:trHeight w:val="445"/>
          <w:jc w:val="center"/>
        </w:trPr>
        <w:tc>
          <w:tcPr>
            <w:tcW w:w="5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rPr>
                <w:noProof/>
                <w:sz w:val="18"/>
                <w:szCs w:val="18"/>
              </w:rPr>
            </w:pPr>
            <w:r w:rsidRPr="00223A67">
              <w:rPr>
                <w:noProof/>
                <w:sz w:val="18"/>
                <w:szCs w:val="18"/>
              </w:rPr>
              <w:t>İmza / Signature</w:t>
            </w:r>
          </w:p>
        </w:tc>
        <w:tc>
          <w:tcPr>
            <w:tcW w:w="4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A30FB" w:rsidRPr="00223A67" w:rsidRDefault="008A30FB" w:rsidP="00621B96">
            <w:pPr>
              <w:pStyle w:val="ListeParagraf"/>
              <w:ind w:left="0"/>
              <w:jc w:val="center"/>
              <w:rPr>
                <w:b/>
                <w:noProof/>
                <w:sz w:val="18"/>
                <w:szCs w:val="18"/>
              </w:rPr>
            </w:pPr>
          </w:p>
        </w:tc>
      </w:tr>
    </w:tbl>
    <w:p w:rsidR="008A30FB" w:rsidRPr="00223A67" w:rsidRDefault="008A30FB" w:rsidP="008A30FB">
      <w:pPr>
        <w:pStyle w:val="ListeParagraf"/>
        <w:ind w:left="0"/>
        <w:jc w:val="center"/>
        <w:rPr>
          <w:b/>
          <w:noProof/>
          <w:sz w:val="18"/>
          <w:szCs w:val="18"/>
        </w:rPr>
      </w:pPr>
    </w:p>
    <w:p w:rsidR="008A30FB" w:rsidRPr="00223A67" w:rsidRDefault="008A30FB" w:rsidP="008A30FB">
      <w:pPr>
        <w:pStyle w:val="ListeParagraf"/>
        <w:ind w:left="0"/>
        <w:jc w:val="both"/>
        <w:rPr>
          <w:noProof/>
          <w:sz w:val="18"/>
          <w:szCs w:val="18"/>
        </w:rPr>
      </w:pPr>
      <w:r w:rsidRPr="00223A67">
        <w:rPr>
          <w:noProof/>
          <w:sz w:val="18"/>
          <w:szCs w:val="18"/>
        </w:rPr>
        <w:t xml:space="preserve">Not / Note:  Bu form, yılda </w:t>
      </w:r>
      <w:r>
        <w:rPr>
          <w:noProof/>
          <w:sz w:val="18"/>
          <w:szCs w:val="18"/>
        </w:rPr>
        <w:t>üç (</w:t>
      </w:r>
      <w:r w:rsidRPr="00223A67">
        <w:rPr>
          <w:noProof/>
          <w:sz w:val="18"/>
          <w:szCs w:val="18"/>
        </w:rPr>
        <w:t>3</w:t>
      </w:r>
      <w:r>
        <w:rPr>
          <w:noProof/>
          <w:sz w:val="18"/>
          <w:szCs w:val="18"/>
        </w:rPr>
        <w:t>)</w:t>
      </w:r>
      <w:r w:rsidRPr="00223A67">
        <w:rPr>
          <w:noProof/>
          <w:sz w:val="18"/>
          <w:szCs w:val="18"/>
        </w:rPr>
        <w:t xml:space="preserve"> kez ( 1 Mart, 1 Temmuz, 1 Ekim tarihlerinde ) yenilenir. This form must be renewed 3 times a year </w:t>
      </w:r>
    </w:p>
    <w:p w:rsidR="008A30FB" w:rsidRPr="00223A67" w:rsidRDefault="008A30FB" w:rsidP="008A30FB">
      <w:pPr>
        <w:pStyle w:val="ListeParagraf"/>
        <w:ind w:left="0"/>
        <w:jc w:val="both"/>
        <w:rPr>
          <w:noProof/>
          <w:sz w:val="18"/>
          <w:szCs w:val="18"/>
        </w:rPr>
      </w:pPr>
      <w:r w:rsidRPr="00223A67">
        <w:rPr>
          <w:noProof/>
          <w:sz w:val="18"/>
          <w:szCs w:val="18"/>
        </w:rPr>
        <w:t>( March 1</w:t>
      </w:r>
      <w:r w:rsidRPr="00223A67">
        <w:rPr>
          <w:noProof/>
          <w:sz w:val="18"/>
          <w:szCs w:val="18"/>
          <w:vertAlign w:val="superscript"/>
        </w:rPr>
        <w:t>st</w:t>
      </w:r>
      <w:r w:rsidRPr="00223A67">
        <w:rPr>
          <w:noProof/>
          <w:sz w:val="18"/>
          <w:szCs w:val="18"/>
        </w:rPr>
        <w:t>, July 1</w:t>
      </w:r>
      <w:r w:rsidRPr="00223A67">
        <w:rPr>
          <w:noProof/>
          <w:sz w:val="18"/>
          <w:szCs w:val="18"/>
          <w:vertAlign w:val="superscript"/>
        </w:rPr>
        <w:t>st</w:t>
      </w:r>
      <w:r w:rsidRPr="00223A67">
        <w:rPr>
          <w:noProof/>
          <w:sz w:val="18"/>
          <w:szCs w:val="18"/>
        </w:rPr>
        <w:t>, October 1</w:t>
      </w:r>
      <w:r w:rsidRPr="00223A67">
        <w:rPr>
          <w:noProof/>
          <w:sz w:val="18"/>
          <w:szCs w:val="18"/>
          <w:vertAlign w:val="superscript"/>
        </w:rPr>
        <w:t>st</w:t>
      </w:r>
      <w:r w:rsidRPr="00223A67">
        <w:rPr>
          <w:noProof/>
          <w:sz w:val="18"/>
          <w:szCs w:val="18"/>
        </w:rPr>
        <w:t>).</w:t>
      </w:r>
    </w:p>
    <w:p w:rsidR="008A30FB" w:rsidRPr="00223A67" w:rsidRDefault="008A30FB" w:rsidP="008A30FB">
      <w:pPr>
        <w:pStyle w:val="ListeParagraf"/>
        <w:ind w:left="0"/>
        <w:jc w:val="both"/>
        <w:rPr>
          <w:b/>
          <w:noProof/>
          <w:sz w:val="18"/>
          <w:szCs w:val="18"/>
        </w:rPr>
      </w:pPr>
    </w:p>
    <w:p w:rsidR="008A30FB" w:rsidRPr="00223A67" w:rsidRDefault="008A30FB" w:rsidP="008A30FB">
      <w:pPr>
        <w:spacing w:line="276" w:lineRule="auto"/>
        <w:ind w:right="-18"/>
        <w:jc w:val="both"/>
        <w:rPr>
          <w:rFonts w:eastAsia="Times New Roman" w:cstheme="minorHAnsi"/>
          <w:noProof/>
          <w:sz w:val="18"/>
          <w:szCs w:val="18"/>
          <w:lang w:eastAsia="tr-TR"/>
        </w:rPr>
      </w:pPr>
      <w:r w:rsidRPr="00223A67">
        <w:rPr>
          <w:rFonts w:cstheme="minorHAnsi"/>
          <w:noProof/>
          <w:sz w:val="18"/>
          <w:szCs w:val="18"/>
        </w:rPr>
        <w:t xml:space="preserve">İhsan Doğramacı Bilkent Üniversitesi ve Çankaya Üniversitesi Kütüphaneleri </w:t>
      </w:r>
      <w:r w:rsidRPr="00223A67">
        <w:rPr>
          <w:rFonts w:cstheme="minorHAnsi"/>
          <w:b/>
          <w:noProof/>
          <w:sz w:val="18"/>
          <w:szCs w:val="18"/>
        </w:rPr>
        <w:t>Kişisel Verilerin Korunması Kanunu Aydınlatma Metni</w:t>
      </w:r>
      <w:r w:rsidRPr="00223A67">
        <w:rPr>
          <w:rFonts w:cstheme="minorHAnsi"/>
          <w:noProof/>
          <w:sz w:val="18"/>
          <w:szCs w:val="18"/>
        </w:rPr>
        <w:t>’ni</w:t>
      </w:r>
      <w:r>
        <w:rPr>
          <w:rFonts w:cstheme="minorHAnsi"/>
          <w:noProof/>
          <w:sz w:val="18"/>
          <w:szCs w:val="18"/>
        </w:rPr>
        <w:t xml:space="preserve"> </w:t>
      </w:r>
      <w:r w:rsidRPr="00D13F92">
        <w:rPr>
          <w:rFonts w:cstheme="minorHAnsi"/>
          <w:b/>
          <w:noProof/>
          <w:sz w:val="18"/>
          <w:szCs w:val="18"/>
        </w:rPr>
        <w:t>(EK 2)</w:t>
      </w:r>
      <w:r w:rsidRPr="00223A67">
        <w:rPr>
          <w:rFonts w:cstheme="minorHAnsi"/>
          <w:noProof/>
          <w:sz w:val="18"/>
          <w:szCs w:val="18"/>
        </w:rPr>
        <w:t xml:space="preserve"> okudum. / </w:t>
      </w:r>
      <w:r w:rsidRPr="00223A67">
        <w:rPr>
          <w:rFonts w:eastAsia="Times New Roman" w:cstheme="minorHAnsi"/>
          <w:noProof/>
          <w:sz w:val="18"/>
          <w:szCs w:val="18"/>
          <w:lang w:eastAsia="tr-TR"/>
        </w:rPr>
        <w:t>I have read the İ</w:t>
      </w:r>
      <w:r>
        <w:rPr>
          <w:rFonts w:eastAsia="Times New Roman" w:cstheme="minorHAnsi"/>
          <w:noProof/>
          <w:sz w:val="18"/>
          <w:szCs w:val="18"/>
          <w:lang w:eastAsia="tr-TR"/>
        </w:rPr>
        <w:t>hsan Doğramacı</w:t>
      </w:r>
      <w:r w:rsidRPr="00223A67">
        <w:rPr>
          <w:rFonts w:eastAsia="Times New Roman" w:cstheme="minorHAnsi"/>
          <w:noProof/>
          <w:sz w:val="18"/>
          <w:szCs w:val="18"/>
          <w:lang w:eastAsia="tr-TR"/>
        </w:rPr>
        <w:t xml:space="preserve"> Bilkent University</w:t>
      </w:r>
      <w:r>
        <w:rPr>
          <w:rFonts w:eastAsia="Times New Roman" w:cstheme="minorHAnsi"/>
          <w:noProof/>
          <w:sz w:val="18"/>
          <w:szCs w:val="18"/>
          <w:lang w:eastAsia="tr-TR"/>
        </w:rPr>
        <w:t xml:space="preserve"> and </w:t>
      </w:r>
      <w:r w:rsidRPr="00D54E5D">
        <w:rPr>
          <w:rFonts w:eastAsia="Times New Roman" w:cstheme="minorHAnsi"/>
          <w:noProof/>
          <w:sz w:val="18"/>
          <w:szCs w:val="18"/>
          <w:lang w:eastAsia="tr-TR"/>
        </w:rPr>
        <w:t>Çankaya</w:t>
      </w:r>
      <w:r>
        <w:rPr>
          <w:rFonts w:eastAsia="Times New Roman" w:cstheme="minorHAnsi"/>
          <w:noProof/>
          <w:sz w:val="18"/>
          <w:szCs w:val="18"/>
          <w:lang w:eastAsia="tr-TR"/>
        </w:rPr>
        <w:t xml:space="preserve"> University</w:t>
      </w:r>
      <w:r w:rsidRPr="00223A67">
        <w:rPr>
          <w:rFonts w:eastAsia="Times New Roman" w:cstheme="minorHAnsi"/>
          <w:noProof/>
          <w:sz w:val="18"/>
          <w:szCs w:val="18"/>
          <w:lang w:eastAsia="tr-TR"/>
        </w:rPr>
        <w:t xml:space="preserve"> Librar</w:t>
      </w:r>
      <w:r>
        <w:rPr>
          <w:rFonts w:eastAsia="Times New Roman" w:cstheme="minorHAnsi"/>
          <w:noProof/>
          <w:sz w:val="18"/>
          <w:szCs w:val="18"/>
          <w:lang w:eastAsia="tr-TR"/>
        </w:rPr>
        <w:t>ies</w:t>
      </w:r>
      <w:r w:rsidRPr="00223A67">
        <w:rPr>
          <w:rFonts w:eastAsia="Times New Roman" w:cstheme="minorHAnsi"/>
          <w:noProof/>
          <w:sz w:val="18"/>
          <w:szCs w:val="18"/>
          <w:lang w:eastAsia="tr-TR"/>
        </w:rPr>
        <w:t xml:space="preserve"> </w:t>
      </w:r>
      <w:r w:rsidRPr="00223A67">
        <w:rPr>
          <w:rFonts w:eastAsia="Times New Roman" w:cstheme="minorHAnsi"/>
          <w:b/>
          <w:noProof/>
          <w:sz w:val="18"/>
          <w:szCs w:val="18"/>
          <w:lang w:eastAsia="tr-TR"/>
        </w:rPr>
        <w:t>Clarification Text on the Personal Data Protection Law</w:t>
      </w:r>
      <w:r w:rsidRPr="00223A67">
        <w:rPr>
          <w:rFonts w:eastAsia="Times New Roman" w:cstheme="minorHAnsi"/>
          <w:noProof/>
          <w:sz w:val="18"/>
          <w:szCs w:val="18"/>
          <w:lang w:eastAsia="tr-TR"/>
        </w:rPr>
        <w:t>. T</w:t>
      </w:r>
      <w:r w:rsidRPr="00223A67">
        <w:rPr>
          <w:rFonts w:cstheme="minorHAnsi"/>
          <w:noProof/>
          <w:sz w:val="18"/>
          <w:szCs w:val="18"/>
        </w:rPr>
        <w:t xml:space="preserve">arafıma Kişisel Verilerin Korunması Kanunu hakkında aydınlatma yapılmış olup, işbu belge/form ile vermiş olduğum kişisel verilerimin;  belge/formun verilmesini gerektiren amaçlar ile aydınlatma metni ve ilgili mevzuatta yer alan hususlarla sınırlı olmak üzere işlenmesini ve aktarılmasını kabul ediyorum. / </w:t>
      </w:r>
      <w:r w:rsidRPr="00223A67">
        <w:rPr>
          <w:rFonts w:eastAsia="Times New Roman" w:cstheme="minorHAnsi"/>
          <w:noProof/>
          <w:sz w:val="18"/>
          <w:szCs w:val="18"/>
          <w:lang w:eastAsia="tr-TR"/>
        </w:rPr>
        <w:t>I have been informed about the Personal Data Protection Law, and the personal data I have provided with the document / form; I hereby accept the processing and/or transferring any of my personal information to be limited only to the matters stated in the clarification text and the purposes included in the relevant legislation.</w:t>
      </w:r>
    </w:p>
    <w:p w:rsidR="008A30FB" w:rsidRDefault="008A30FB" w:rsidP="008A30FB">
      <w:pPr>
        <w:pStyle w:val="NormalWeb"/>
        <w:spacing w:before="0" w:beforeAutospacing="0" w:afterAutospacing="0"/>
        <w:ind w:right="-851"/>
        <w:jc w:val="center"/>
        <w:rPr>
          <w:rFonts w:asciiTheme="minorHAnsi" w:hAnsiTheme="minorHAnsi" w:cstheme="minorHAnsi"/>
          <w:b/>
          <w:noProof/>
          <w:sz w:val="14"/>
          <w:szCs w:val="14"/>
        </w:rPr>
      </w:pPr>
    </w:p>
    <w:p w:rsidR="008A30FB" w:rsidRDefault="008A30FB" w:rsidP="008A30FB">
      <w:pPr>
        <w:pStyle w:val="NormalWeb"/>
        <w:spacing w:before="0" w:beforeAutospacing="0" w:afterAutospacing="0"/>
        <w:ind w:right="-851"/>
        <w:jc w:val="center"/>
        <w:rPr>
          <w:rFonts w:asciiTheme="minorHAnsi" w:hAnsiTheme="minorHAnsi" w:cstheme="minorHAnsi"/>
          <w:b/>
          <w:noProof/>
          <w:sz w:val="14"/>
          <w:szCs w:val="14"/>
        </w:rPr>
      </w:pPr>
    </w:p>
    <w:p w:rsidR="008A30FB" w:rsidRPr="00D10F52" w:rsidRDefault="008A30FB" w:rsidP="008A30FB">
      <w:pPr>
        <w:pStyle w:val="NormalWeb"/>
        <w:spacing w:before="0" w:beforeAutospacing="0" w:afterAutospacing="0"/>
        <w:ind w:right="-851"/>
        <w:rPr>
          <w:rFonts w:asciiTheme="minorHAnsi" w:hAnsiTheme="minorHAnsi" w:cstheme="minorHAnsi"/>
          <w:b/>
          <w:noProof/>
          <w:sz w:val="18"/>
          <w:szCs w:val="18"/>
        </w:rPr>
      </w:pPr>
      <w:bookmarkStart w:id="0" w:name="_GoBack"/>
      <w:bookmarkEnd w:id="0"/>
      <w:r w:rsidRPr="00D10F52">
        <w:rPr>
          <w:rFonts w:asciiTheme="minorHAnsi" w:hAnsiTheme="minorHAnsi" w:cstheme="minorHAnsi"/>
          <w:b/>
          <w:noProof/>
          <w:sz w:val="16"/>
          <w:szCs w:val="16"/>
        </w:rPr>
        <w:lastRenderedPageBreak/>
        <w:t>İhsan Doğramacı Bilkent Üniversitesi ve Çankaya Üniversitesi Kütüphaneleri Kişisel Verilerin Korunması Kanunu Aydınlatma Metni</w:t>
      </w:r>
    </w:p>
    <w:p w:rsidR="008A30FB" w:rsidRPr="00223A67" w:rsidRDefault="008A30FB" w:rsidP="008A30FB">
      <w:pPr>
        <w:pStyle w:val="NormalWeb"/>
        <w:jc w:val="both"/>
        <w:rPr>
          <w:rFonts w:asciiTheme="minorHAnsi" w:hAnsiTheme="minorHAnsi" w:cstheme="minorHAnsi"/>
          <w:noProof/>
          <w:sz w:val="12"/>
          <w:szCs w:val="12"/>
        </w:rPr>
      </w:pPr>
      <w:r w:rsidRPr="00223A67">
        <w:rPr>
          <w:rFonts w:asciiTheme="minorHAnsi" w:hAnsiTheme="minorHAnsi" w:cstheme="minorHAnsi"/>
          <w:noProof/>
          <w:sz w:val="12"/>
          <w:szCs w:val="12"/>
        </w:rPr>
        <w:t>Kişisel verilerin işlenmesinde başta özel hayatın gizliliği olmak üzere kişilerin temel hak ve özgürlüklerini korumak ve kişisel verileri işleyen gerçek ve tüzel kişilerin yükümlülükleri ile uyacakları usul ve esasları düzenlemek amacıyla kabul edilen 6698 sayılı Kişisel Verilerin Korunması Kanunu (KVKK); 7 Nisan 2016 tarihli Resmi Gazete’de yayımlanmış ve ilgili yürürlük maddesi uyarınca anılan kanunun 8 inci, 9 uncu, 11 inci, 13 üncü, 14 üncü, 15 inci, 16 ncı, 17 nci ve 18 inci maddeleri 07 Ekim 2016 tarihinden itibaren yürürlüğe girmiştir.</w:t>
      </w:r>
    </w:p>
    <w:p w:rsidR="008A30FB" w:rsidRPr="00223A67" w:rsidRDefault="008A30FB" w:rsidP="008A30FB">
      <w:pPr>
        <w:pStyle w:val="NormalWeb"/>
        <w:jc w:val="both"/>
        <w:rPr>
          <w:rFonts w:asciiTheme="minorHAnsi" w:hAnsiTheme="minorHAnsi" w:cstheme="minorHAnsi"/>
          <w:noProof/>
          <w:sz w:val="12"/>
          <w:szCs w:val="12"/>
        </w:rPr>
      </w:pPr>
      <w:r w:rsidRPr="00223A67">
        <w:rPr>
          <w:rFonts w:asciiTheme="minorHAnsi" w:hAnsiTheme="minorHAnsi" w:cstheme="minorHAnsi"/>
          <w:noProof/>
          <w:sz w:val="12"/>
          <w:szCs w:val="12"/>
        </w:rPr>
        <w:t>KVKK uyarınca veri işleyen ve/veya veri sorumlusu sıfatıyla İhsan Doğramacı Bilkent Üniversitesi Kütüphanesi olarak; işleme amacıyla bağlantılı, sınırlı ve ölçülü olacak şekilde talep edilen ve/veya üniversiteyle paylaşılmış olan kişisel veriler, yine işlenmelerini gerektiren amaç çerçevesinde işlenebilecek ve muhafaza edilebilecek olup kişisel verilerin güvenliği için en yüksek düzeyde özen gösterilmektedir.</w:t>
      </w:r>
    </w:p>
    <w:p w:rsidR="008A30FB" w:rsidRPr="00223A67" w:rsidRDefault="008A30FB" w:rsidP="008A30FB">
      <w:pPr>
        <w:pStyle w:val="NormalWeb"/>
        <w:jc w:val="both"/>
        <w:rPr>
          <w:rFonts w:asciiTheme="minorHAnsi" w:hAnsiTheme="minorHAnsi" w:cstheme="minorHAnsi"/>
          <w:noProof/>
          <w:sz w:val="12"/>
          <w:szCs w:val="12"/>
        </w:rPr>
      </w:pPr>
      <w:r w:rsidRPr="00223A67">
        <w:rPr>
          <w:rFonts w:asciiTheme="minorHAnsi" w:hAnsiTheme="minorHAnsi" w:cstheme="minorHAnsi"/>
          <w:noProof/>
          <w:sz w:val="12"/>
          <w:szCs w:val="12"/>
        </w:rPr>
        <w:t>Kişisel veriler, kütüphane kayıt ve başvuru formları, internet siteleri ve e-postalar, mobil uygulamalar, toplanan formlar ve tutanaklar, kütüphane otomasyon sistemi ve kurumsal arşiv, tanıtım uygulamaları, uzaktan iletişim platformları, eğitim yazılımı platformları, sözleşmeler, başvurular, teklifler, ses ve görüntü kayıtları, yurt içi ve yurt dışı eğitim kurumlarıyla yapılan akademik gerekliliklerden kaynaklanan paylaşımlar, internet sitesi ziyaretlerinde bilgisayarlarda kullanılan çerezler (cookies) ve benzeri kanallarla, öğrenci işleri ve kayıt birimleri ile diğer çalışanlar, idari ve akademik birimler, sekretarya, resepsiyon, güvenlik birimleri, üniversitenin yurt</w:t>
      </w:r>
      <w:r>
        <w:rPr>
          <w:rFonts w:asciiTheme="minorHAnsi" w:hAnsiTheme="minorHAnsi" w:cstheme="minorHAnsi"/>
          <w:noProof/>
          <w:sz w:val="12"/>
          <w:szCs w:val="12"/>
        </w:rPr>
        <w:t xml:space="preserve"> </w:t>
      </w:r>
      <w:r w:rsidRPr="00223A67">
        <w:rPr>
          <w:rFonts w:asciiTheme="minorHAnsi" w:hAnsiTheme="minorHAnsi" w:cstheme="minorHAnsi"/>
          <w:noProof/>
          <w:sz w:val="12"/>
          <w:szCs w:val="12"/>
        </w:rPr>
        <w:t>içi ve yurt</w:t>
      </w:r>
      <w:r>
        <w:rPr>
          <w:rFonts w:asciiTheme="minorHAnsi" w:hAnsiTheme="minorHAnsi" w:cstheme="minorHAnsi"/>
          <w:noProof/>
          <w:sz w:val="12"/>
          <w:szCs w:val="12"/>
        </w:rPr>
        <w:t xml:space="preserve"> </w:t>
      </w:r>
      <w:r w:rsidRPr="00223A67">
        <w:rPr>
          <w:rFonts w:asciiTheme="minorHAnsi" w:hAnsiTheme="minorHAnsi" w:cstheme="minorHAnsi"/>
          <w:noProof/>
          <w:sz w:val="12"/>
          <w:szCs w:val="12"/>
        </w:rPr>
        <w:t>dışı okul ve program ortakları ile hizmet aldığı firmalar aracılığıyla sözlü, yazılı veya elektronik ortamda Kanunun 5. ve 6. maddesinde yer alan işleme şartlarına uygun olarak toplanabilmektedir.</w:t>
      </w:r>
    </w:p>
    <w:p w:rsidR="008A30FB" w:rsidRPr="00223A67" w:rsidRDefault="008A30FB" w:rsidP="008A30FB">
      <w:pPr>
        <w:pStyle w:val="NormalWeb"/>
        <w:jc w:val="both"/>
        <w:rPr>
          <w:rFonts w:asciiTheme="minorHAnsi" w:hAnsiTheme="minorHAnsi" w:cstheme="minorHAnsi"/>
          <w:noProof/>
          <w:sz w:val="12"/>
          <w:szCs w:val="12"/>
        </w:rPr>
      </w:pPr>
      <w:r w:rsidRPr="00223A67">
        <w:rPr>
          <w:rFonts w:asciiTheme="minorHAnsi" w:hAnsiTheme="minorHAnsi" w:cstheme="minorHAnsi"/>
          <w:noProof/>
          <w:sz w:val="12"/>
          <w:szCs w:val="12"/>
        </w:rPr>
        <w:t>İhsan Doğramacı Bilkent Üniversitesi Kütüphanesi olarak kişisel verilerin işlenme ve aktarılma amaçları ile hukuki sebepleri ise kütüphane-kullanıcı ilişkilerinin yürütülebilmesi, iletişim bilgilerinin güncellenebilmesi, kullanıcıların kayıtlarının sistemde açılabilmesi ve takibi, yasal ve sözleşmesel yükümlülüklerin yerine getirilebilmesi, tüm hizmetlerin verilebilmesi, kayıt ve sonraki işlemlerin yürütülebilmesi, faturalandırma işlemleri de dahil mali yükümlülüklerin yerine getirilebilmesi, ilgili birimlerin gerekli kişilerle iletişime geçebilmesini, duyuru yapılabilmesi ve genel olarak memnuniyetin sağlanabilmesi, mezun ilişkilerinin yürütülebilmesi, ilgililerin beğeni, alışkanlık ve taleplerine göre ihtiyaçlarının belirlenebilmesi, kütüphanenin ve ilgililerin güvenliğinin sağlanabilmesi, kamu sağlığının korunması, kurumsal stratejilerin belirlenebilmesi, hizmetlerin mevzuata, sözleşmelere ve teknolojinin gereklerine uygun şekilde gerçekleştirilebilmesi ve geliştirilebilmesi, tanıtım ve eğitim faaliyetlerinde bulunulabilmesi, ihtiyaçların analiz edilebilmesi, elektronik veya kağıt ortamında işleme amacı doğrultusunda tüm kayıt ve belgelerin düzenlenebilmesi, yurt içi ve yurt dışı okul ve üniversiteler ile öğrenci ve personel değişim programları, staj programları, lisans üstü gibi akademik gerekliliklerden kaynaklanan paylaşımların yapılabilmesi, mevzuat, ilgili düzenleyici kurumlar ve diğer otoritelerce öngörülen bilgi saklama, raporlama, bilgilendirme yükümlülüklerinin yerine getirilebilmesidir.</w:t>
      </w:r>
    </w:p>
    <w:p w:rsidR="008A30FB" w:rsidRPr="00223A67" w:rsidRDefault="008A30FB" w:rsidP="008A30FB">
      <w:pPr>
        <w:pStyle w:val="NormalWeb"/>
        <w:jc w:val="both"/>
        <w:rPr>
          <w:rFonts w:asciiTheme="minorHAnsi" w:hAnsiTheme="minorHAnsi" w:cstheme="minorHAnsi"/>
          <w:noProof/>
          <w:sz w:val="12"/>
          <w:szCs w:val="12"/>
        </w:rPr>
      </w:pPr>
      <w:r w:rsidRPr="00223A67">
        <w:rPr>
          <w:rFonts w:asciiTheme="minorHAnsi" w:hAnsiTheme="minorHAnsi" w:cstheme="minorHAnsi"/>
          <w:noProof/>
          <w:sz w:val="12"/>
          <w:szCs w:val="12"/>
        </w:rPr>
        <w:t>Yukarıda belirtilen amaçlarla, kişisel verilerin aktarılabileceği kişi veya kuruluşlar; YÖK, mevzuat hükümlerinin izin verdiği ve/veya zorunlu kıldığı kurum veya kuruluşlar, yurt</w:t>
      </w:r>
      <w:r>
        <w:rPr>
          <w:rFonts w:asciiTheme="minorHAnsi" w:hAnsiTheme="minorHAnsi" w:cstheme="minorHAnsi"/>
          <w:noProof/>
          <w:sz w:val="12"/>
          <w:szCs w:val="12"/>
        </w:rPr>
        <w:t xml:space="preserve"> </w:t>
      </w:r>
      <w:r w:rsidRPr="00223A67">
        <w:rPr>
          <w:rFonts w:asciiTheme="minorHAnsi" w:hAnsiTheme="minorHAnsi" w:cstheme="minorHAnsi"/>
          <w:noProof/>
          <w:sz w:val="12"/>
          <w:szCs w:val="12"/>
        </w:rPr>
        <w:t>içi ve yurt</w:t>
      </w:r>
      <w:r>
        <w:rPr>
          <w:rFonts w:asciiTheme="minorHAnsi" w:hAnsiTheme="minorHAnsi" w:cstheme="minorHAnsi"/>
          <w:noProof/>
          <w:sz w:val="12"/>
          <w:szCs w:val="12"/>
        </w:rPr>
        <w:t xml:space="preserve"> </w:t>
      </w:r>
      <w:r w:rsidRPr="00223A67">
        <w:rPr>
          <w:rFonts w:asciiTheme="minorHAnsi" w:hAnsiTheme="minorHAnsi" w:cstheme="minorHAnsi"/>
          <w:noProof/>
          <w:sz w:val="12"/>
          <w:szCs w:val="12"/>
        </w:rPr>
        <w:t>dışı okul ve üniversiteler ile üniversitenin program ortakları, bağlı ortaklıkları ve/veya doğrudan ya da dolaylı iştirakleri, kütüphanenin faaliyetlerini yürütmek üzere sözleşmesel olarak hizmet aldığı, iş</w:t>
      </w:r>
      <w:r>
        <w:rPr>
          <w:rFonts w:asciiTheme="minorHAnsi" w:hAnsiTheme="minorHAnsi" w:cstheme="minorHAnsi"/>
          <w:noProof/>
          <w:sz w:val="12"/>
          <w:szCs w:val="12"/>
        </w:rPr>
        <w:t xml:space="preserve"> </w:t>
      </w:r>
      <w:r w:rsidRPr="00223A67">
        <w:rPr>
          <w:rFonts w:asciiTheme="minorHAnsi" w:hAnsiTheme="minorHAnsi" w:cstheme="minorHAnsi"/>
          <w:noProof/>
          <w:sz w:val="12"/>
          <w:szCs w:val="12"/>
        </w:rPr>
        <w:t>birliği yaptığı kişi ve kuruluşlar, üniversite birimleri ile her türlü kişisel verilerin muhafazası, yetkisiz erişimlerin önlenmesi ve hukuka aykırı olarak işlenmelerini önlemek gibi veri güvenliği tedbirlerinin alınmasında sorumlu olan üçüncü kişilerdir.</w:t>
      </w:r>
    </w:p>
    <w:p w:rsidR="008A30FB" w:rsidRPr="00223A67" w:rsidRDefault="008A30FB" w:rsidP="008A30FB">
      <w:pPr>
        <w:pStyle w:val="NormalWeb"/>
        <w:spacing w:before="0" w:beforeAutospacing="0" w:afterAutospacing="0"/>
        <w:jc w:val="both"/>
        <w:rPr>
          <w:rFonts w:asciiTheme="minorHAnsi" w:hAnsiTheme="minorHAnsi" w:cstheme="minorHAnsi"/>
          <w:noProof/>
          <w:sz w:val="12"/>
          <w:szCs w:val="12"/>
        </w:rPr>
      </w:pPr>
      <w:r w:rsidRPr="00223A67">
        <w:rPr>
          <w:rFonts w:asciiTheme="minorHAnsi" w:hAnsiTheme="minorHAnsi" w:cstheme="minorHAnsi"/>
          <w:noProof/>
          <w:sz w:val="12"/>
          <w:szCs w:val="12"/>
        </w:rPr>
        <w:t>KVKK’nun 10, 11 ve ilgili diğer maddeleri uyarınca, ilgili kişiler, İhsan Doğramacı Bilkent Üniversitesi Kütüphanesi ile her zaman iletişime geçebilir; işlenen kişisel verilerine erişme, veri işlemeye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halinde bunların düzeltilmesini isteme, ilgili kanun hükümlerine uygun olarak işlenmiş olmasına rağmen işlenmesini gerektiren sebeplerin ortadan kalkması halinde kişisel verilerin silinmesini veya yok edilmesini talep etme, düzeltme veya silinme hakkının kullanıldığına ilişkin bilginin kişisel verilerin aktarıldığı üçüncü kişilere bildirilmesini talep etme, işlenen verilerin münhasıran otomatik sistemler vasıtasıyla analiz edilmesiyle ortaya çıkan aleyhe bir sonuca itiraz etme, kişisel verilerin kanuna aykırı olarak işlenmesi sebebiyle zarara uğranılması halinde zararın giderilmesini talep etme haklarına sahiptir.</w:t>
      </w:r>
    </w:p>
    <w:p w:rsidR="008A30FB" w:rsidRPr="00223A67" w:rsidRDefault="008A30FB" w:rsidP="008A30FB">
      <w:pPr>
        <w:pStyle w:val="NormalWeb"/>
        <w:spacing w:before="0" w:beforeAutospacing="0" w:afterAutospacing="0"/>
        <w:rPr>
          <w:rFonts w:asciiTheme="minorHAnsi" w:hAnsiTheme="minorHAnsi" w:cstheme="minorHAnsi"/>
          <w:b/>
          <w:noProof/>
          <w:sz w:val="14"/>
          <w:szCs w:val="14"/>
        </w:rPr>
      </w:pPr>
    </w:p>
    <w:p w:rsidR="008A30FB" w:rsidRPr="00D10F52" w:rsidRDefault="008A30FB" w:rsidP="008A30FB">
      <w:pPr>
        <w:pStyle w:val="NormalWeb"/>
        <w:spacing w:before="0" w:beforeAutospacing="0" w:afterAutospacing="0"/>
        <w:jc w:val="center"/>
        <w:rPr>
          <w:rFonts w:asciiTheme="minorHAnsi" w:hAnsiTheme="minorHAnsi" w:cstheme="minorHAnsi"/>
          <w:b/>
          <w:noProof/>
          <w:sz w:val="16"/>
          <w:szCs w:val="16"/>
        </w:rPr>
      </w:pPr>
      <w:r w:rsidRPr="00D10F52">
        <w:rPr>
          <w:rFonts w:asciiTheme="minorHAnsi" w:hAnsiTheme="minorHAnsi" w:cstheme="minorHAnsi"/>
          <w:b/>
          <w:noProof/>
          <w:sz w:val="16"/>
          <w:szCs w:val="16"/>
        </w:rPr>
        <w:t>İhsan Doğramacı Bilkent University Çankaya University  Libraries Clarification Text On The Personal Data Protection Law</w:t>
      </w:r>
    </w:p>
    <w:p w:rsidR="008A30FB" w:rsidRPr="00223A67" w:rsidRDefault="008A30FB" w:rsidP="008A30FB">
      <w:pPr>
        <w:pStyle w:val="NormalWeb"/>
        <w:jc w:val="both"/>
        <w:rPr>
          <w:rFonts w:asciiTheme="minorHAnsi" w:hAnsiTheme="minorHAnsi" w:cstheme="minorHAnsi"/>
          <w:noProof/>
          <w:sz w:val="12"/>
          <w:szCs w:val="12"/>
        </w:rPr>
      </w:pPr>
      <w:r w:rsidRPr="00223A67">
        <w:rPr>
          <w:rFonts w:asciiTheme="minorHAnsi" w:hAnsiTheme="minorHAnsi" w:cstheme="minorHAnsi"/>
          <w:noProof/>
          <w:sz w:val="12"/>
          <w:szCs w:val="12"/>
        </w:rPr>
        <w:t>The Personal Data Protection Law No. 6698 (“KVKK”) was adopted to protect the fundamental rights and freedoms of individuals, particularly the privacy of private life, and to regulate the obligations of natural and legal persons processing personal data and the procedures and principles to be followed. It was published in the Official Gazette on 7 April 2016 and articles 8, 9, 11, 13, 14, 15, 16, 17 and 18 of the law entered into force on 7 October 2016.</w:t>
      </w:r>
    </w:p>
    <w:p w:rsidR="008A30FB" w:rsidRPr="00223A67" w:rsidRDefault="008A30FB" w:rsidP="008A30FB">
      <w:pPr>
        <w:pStyle w:val="NormalWeb"/>
        <w:jc w:val="both"/>
        <w:rPr>
          <w:rFonts w:asciiTheme="minorHAnsi" w:hAnsiTheme="minorHAnsi" w:cstheme="minorHAnsi"/>
          <w:noProof/>
          <w:sz w:val="12"/>
          <w:szCs w:val="12"/>
        </w:rPr>
      </w:pPr>
      <w:r w:rsidRPr="00223A67">
        <w:rPr>
          <w:rFonts w:asciiTheme="minorHAnsi" w:hAnsiTheme="minorHAnsi" w:cstheme="minorHAnsi"/>
          <w:noProof/>
          <w:sz w:val="12"/>
          <w:szCs w:val="12"/>
        </w:rPr>
        <w:t>In accordance with KVKK, at İhsan Doğramacı Bilkent University Library (the data processor/controller), personal data collected and/or shared can be processed and retained, when necessary, in a way relevant with, limited to and proportionate to the purposes for which they are processed, and maximum care will be taken for the security of personal data.</w:t>
      </w:r>
    </w:p>
    <w:p w:rsidR="008A30FB" w:rsidRPr="00223A67" w:rsidRDefault="008A30FB" w:rsidP="008A30FB">
      <w:pPr>
        <w:pStyle w:val="NormalWeb"/>
        <w:jc w:val="both"/>
        <w:rPr>
          <w:rFonts w:asciiTheme="minorHAnsi" w:hAnsiTheme="minorHAnsi" w:cstheme="minorHAnsi"/>
          <w:noProof/>
          <w:sz w:val="12"/>
          <w:szCs w:val="12"/>
        </w:rPr>
      </w:pPr>
      <w:r w:rsidRPr="00223A67">
        <w:rPr>
          <w:rFonts w:asciiTheme="minorHAnsi" w:hAnsiTheme="minorHAnsi" w:cstheme="minorHAnsi"/>
          <w:noProof/>
          <w:sz w:val="12"/>
          <w:szCs w:val="12"/>
        </w:rPr>
        <w:t>As per conditions set in articles 5 and 6 of KVKK, personal data may be collected in verbal, written or electronic media through channels such as registration and application forms to the university library, internet websites and e-mails, mobile applications, library automation system, institutional repository, collected forms, recruitment applications, school and course management systems, remote communication platforms, contracts, applications, proposals, audio and video recordings, required academic communications with educational institutions in Turkey and abroad, cookies used by computers to recognize persons in website visits, the Registrar’s Office, registry units and other personnel, administrative and academic units, secretariat, reception and security offices, university and program partners in Turkey and abroad, and companies which provide services to the university.</w:t>
      </w:r>
    </w:p>
    <w:p w:rsidR="008A30FB" w:rsidRPr="00223A67" w:rsidRDefault="008A30FB" w:rsidP="008A30FB">
      <w:pPr>
        <w:pStyle w:val="NormalWeb"/>
        <w:jc w:val="both"/>
        <w:rPr>
          <w:rFonts w:asciiTheme="minorHAnsi" w:hAnsiTheme="minorHAnsi" w:cstheme="minorHAnsi"/>
          <w:noProof/>
          <w:sz w:val="12"/>
          <w:szCs w:val="12"/>
        </w:rPr>
      </w:pPr>
      <w:r w:rsidRPr="00223A67">
        <w:rPr>
          <w:rFonts w:asciiTheme="minorHAnsi" w:hAnsiTheme="minorHAnsi" w:cstheme="minorHAnsi"/>
          <w:noProof/>
          <w:sz w:val="12"/>
          <w:szCs w:val="12"/>
        </w:rPr>
        <w:t>The purposes and legal base of processing and transfer of personal data at İhsan Doğramacı Bilkent University Library include, maintaining library-users relations, updating contact information, storing and tracking user information in systems, announcing and evaluating educational, fulfilling legal and contractual obligations, providing all services, conducting registration and follow-up activities, fulfilling financial obligations including invoicing, enabling units/departments to contact you, broadcasting announcements and ensuring satisfaction in general, maintaining alumni relations, determining needs based on person’s tastes, habits and requests, safeguarding the library’s and others’ security, protecting public health, determining institutional strategies, carrying out and improving services in line with legal provisions and contractual and technological requirements, undertaking advertising, promotional and educational activities, conducting needs analysis, administering all paper and documents to facilitate electronic and paper-based processing, communicating with schools and universities in Turkey and abroad about academic requirements of student and library staff exchange, internship programs, graduate and similar programs, fulfilling the data storage, reporting and notification obligations as required by law, regulatory bodies and other authorities.</w:t>
      </w:r>
    </w:p>
    <w:p w:rsidR="008A30FB" w:rsidRPr="00223A67" w:rsidRDefault="008A30FB" w:rsidP="008A30FB">
      <w:pPr>
        <w:pStyle w:val="NormalWeb"/>
        <w:jc w:val="both"/>
        <w:rPr>
          <w:rFonts w:asciiTheme="minorHAnsi" w:hAnsiTheme="minorHAnsi" w:cstheme="minorHAnsi"/>
          <w:noProof/>
          <w:sz w:val="12"/>
          <w:szCs w:val="12"/>
        </w:rPr>
      </w:pPr>
      <w:r w:rsidRPr="00223A67">
        <w:rPr>
          <w:rFonts w:asciiTheme="minorHAnsi" w:hAnsiTheme="minorHAnsi" w:cstheme="minorHAnsi"/>
          <w:noProof/>
          <w:sz w:val="12"/>
          <w:szCs w:val="12"/>
        </w:rPr>
        <w:t>In line with the purposes listed above, personal data may be transferred to the following persons/institutions: Council of Higher Education (YÖK), institutions and organizations authorized or required by statutory provisions, national and international schools, universities and program partners, affiliated organizations and/or direct or indirect subsidiaries, persons and institutions with whom the library cooperates and has contracted for services, and third parties working with university units for data security measures such as the storage of personal information, prevention of unauthorized access and prevention of illegal processing of personal data.</w:t>
      </w:r>
    </w:p>
    <w:p w:rsidR="008A30FB" w:rsidRPr="00223A67" w:rsidRDefault="008A30FB" w:rsidP="008A30FB">
      <w:pPr>
        <w:pStyle w:val="NormalWeb"/>
        <w:jc w:val="both"/>
        <w:rPr>
          <w:rFonts w:ascii="Cambria" w:hAnsi="Cambria"/>
          <w:noProof/>
        </w:rPr>
      </w:pPr>
      <w:r w:rsidRPr="00223A67">
        <w:rPr>
          <w:rFonts w:asciiTheme="minorHAnsi" w:hAnsiTheme="minorHAnsi" w:cstheme="minorHAnsi"/>
          <w:noProof/>
          <w:sz w:val="12"/>
          <w:szCs w:val="12"/>
        </w:rPr>
        <w:t>Pursuant to articles 10 and 11, as well as other relevant articles of KVKK, persons are entitled to contact İhsan Doğramacı Bilkent University Library at any time, and have the right to: access processed personal data, request information about the processing of personal data, learn the purpose of the processing of personal data and whether such data is used for the intended purpose, request information about third parties in the Turkey or abroad to whom personal data is transferred, request correction of any of personal data which is incomplete or processed inaccurately, request the deletion or destruction of personal data if the reasons for processing of personal data cease to exist, even though the data had been processed in compliance with the law and applicable legal provisions, request notification of third parties to whom personal data was transferred of the use of a person’s right to request the erasure or destruction of personal data, object to the processing of personal data that is analyzed exclusively by automated systems and leads to an unfavorable consequence for you, and seek compensation for any damages arising from the unlawful processing of personal data.</w:t>
      </w:r>
    </w:p>
    <w:p w:rsidR="00AF53B4" w:rsidRDefault="00AF53B4"/>
    <w:sectPr w:rsidR="00AF53B4" w:rsidSect="005A1BEA">
      <w:footerReference w:type="default" r:id="rId4"/>
      <w:pgSz w:w="11906" w:h="16838" w:code="9"/>
      <w:pgMar w:top="1411" w:right="907" w:bottom="1411" w:left="907" w:header="706" w:footer="706" w:gutter="0"/>
      <w:pgBorders w:offsetFrom="page">
        <w:top w:val="twistedLines1" w:sz="18" w:space="24" w:color="E62326"/>
        <w:left w:val="twistedLines1" w:sz="18" w:space="24" w:color="E62326"/>
        <w:bottom w:val="twistedLines1" w:sz="18" w:space="24" w:color="E62326"/>
        <w:right w:val="twistedLines1" w:sz="18" w:space="24" w:color="E62326"/>
      </w:pgBorders>
      <w:pgNumType w:fmt="numberInDash"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5C" w:rsidRDefault="008A30FB">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FB"/>
    <w:rsid w:val="008A30FB"/>
    <w:rsid w:val="00AF53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955CE-4018-45AF-B37F-D5C48F09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0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8A30FB"/>
    <w:pPr>
      <w:spacing w:after="0" w:line="240" w:lineRule="auto"/>
      <w:ind w:left="720"/>
      <w:contextualSpacing/>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A30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30FB"/>
  </w:style>
  <w:style w:type="paragraph" w:styleId="AralkYok">
    <w:name w:val="No Spacing"/>
    <w:rsid w:val="008A30FB"/>
    <w:pPr>
      <w:suppressAutoHyphens/>
      <w:autoSpaceDN w:val="0"/>
      <w:spacing w:after="0" w:line="240" w:lineRule="auto"/>
      <w:textAlignment w:val="baseline"/>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8A30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1802</Words>
  <Characters>10273</Characters>
  <Application>Microsoft Office Word</Application>
  <DocSecurity>0</DocSecurity>
  <Lines>85</Lines>
  <Paragraphs>24</Paragraphs>
  <ScaleCrop>false</ScaleCrop>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dc:creator>
  <cp:keywords/>
  <dc:description/>
  <cp:lastModifiedBy>Figen</cp:lastModifiedBy>
  <cp:revision>1</cp:revision>
  <dcterms:created xsi:type="dcterms:W3CDTF">2023-02-20T10:19:00Z</dcterms:created>
  <dcterms:modified xsi:type="dcterms:W3CDTF">2023-02-20T10:20:00Z</dcterms:modified>
</cp:coreProperties>
</file>