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49E" w:rsidRPr="003A549E" w:rsidRDefault="003A549E" w:rsidP="003B7EAD">
      <w:pPr>
        <w:pStyle w:val="Balk1"/>
        <w:numPr>
          <w:ilvl w:val="0"/>
          <w:numId w:val="0"/>
        </w:numPr>
        <w:spacing w:before="0" w:after="0"/>
        <w:jc w:val="center"/>
        <w:rPr>
          <w:rFonts w:ascii="Times New Roman" w:hAnsi="Times New Roman"/>
          <w:sz w:val="24"/>
          <w:szCs w:val="24"/>
          <w:lang w:val="tr-TR"/>
        </w:rPr>
      </w:pPr>
      <w:bookmarkStart w:id="0" w:name="_Toc379297821"/>
      <w:bookmarkStart w:id="1" w:name="_Toc514146639"/>
      <w:r w:rsidRPr="003A549E">
        <w:rPr>
          <w:rFonts w:ascii="Times New Roman" w:hAnsi="Times New Roman"/>
          <w:sz w:val="24"/>
          <w:szCs w:val="24"/>
          <w:lang w:val="tr-TR"/>
        </w:rPr>
        <w:t>ÇANKAYA ÜNİVERSİTESİ</w:t>
      </w:r>
    </w:p>
    <w:p w:rsidR="003A549E" w:rsidRPr="003A549E" w:rsidRDefault="003A549E" w:rsidP="003B7EAD">
      <w:pPr>
        <w:spacing w:after="0" w:line="240" w:lineRule="auto"/>
        <w:jc w:val="center"/>
        <w:rPr>
          <w:rFonts w:ascii="Times New Roman" w:hAnsi="Times New Roman" w:cs="Times New Roman"/>
          <w:b/>
          <w:sz w:val="24"/>
          <w:szCs w:val="24"/>
          <w:lang w:eastAsia="en-GB"/>
        </w:rPr>
      </w:pPr>
      <w:r w:rsidRPr="003A549E">
        <w:rPr>
          <w:rFonts w:ascii="Times New Roman" w:hAnsi="Times New Roman" w:cs="Times New Roman"/>
          <w:b/>
          <w:sz w:val="24"/>
          <w:szCs w:val="24"/>
          <w:lang w:eastAsia="en-GB"/>
        </w:rPr>
        <w:t>FİKRİ VE SINAİ MÜLKİYET HAKLARI YÖNERGESİ</w:t>
      </w:r>
    </w:p>
    <w:p w:rsidR="003A549E" w:rsidRPr="003A549E" w:rsidRDefault="003A549E" w:rsidP="003B7EAD">
      <w:pPr>
        <w:pStyle w:val="Balk1"/>
        <w:numPr>
          <w:ilvl w:val="0"/>
          <w:numId w:val="0"/>
        </w:numPr>
        <w:spacing w:before="0" w:after="0"/>
        <w:ind w:left="360"/>
        <w:jc w:val="center"/>
        <w:rPr>
          <w:rFonts w:ascii="Times New Roman" w:hAnsi="Times New Roman"/>
          <w:sz w:val="24"/>
          <w:szCs w:val="24"/>
          <w:lang w:val="tr-TR"/>
        </w:rPr>
      </w:pPr>
    </w:p>
    <w:p w:rsidR="003A549E" w:rsidRPr="003A549E" w:rsidRDefault="003A549E" w:rsidP="003B7EAD">
      <w:pPr>
        <w:pStyle w:val="Balk1"/>
        <w:numPr>
          <w:ilvl w:val="0"/>
          <w:numId w:val="0"/>
        </w:numPr>
        <w:spacing w:before="0" w:after="0"/>
        <w:ind w:left="360"/>
        <w:jc w:val="center"/>
        <w:rPr>
          <w:rFonts w:ascii="Times New Roman" w:hAnsi="Times New Roman"/>
          <w:sz w:val="24"/>
          <w:szCs w:val="24"/>
          <w:lang w:val="tr-TR"/>
        </w:rPr>
      </w:pPr>
      <w:r w:rsidRPr="003A549E">
        <w:rPr>
          <w:rFonts w:ascii="Times New Roman" w:hAnsi="Times New Roman"/>
          <w:sz w:val="24"/>
          <w:szCs w:val="24"/>
          <w:lang w:val="tr-TR"/>
        </w:rPr>
        <w:t>BİRİNCİ BÖLÜM</w:t>
      </w:r>
      <w:bookmarkEnd w:id="0"/>
      <w:bookmarkEnd w:id="1"/>
    </w:p>
    <w:p w:rsidR="003A549E" w:rsidRPr="003A549E" w:rsidRDefault="003A549E" w:rsidP="003B7EAD">
      <w:pPr>
        <w:pStyle w:val="Balk2"/>
        <w:spacing w:before="0"/>
        <w:jc w:val="center"/>
        <w:rPr>
          <w:rFonts w:ascii="Times New Roman" w:hAnsi="Times New Roman" w:cs="Times New Roman"/>
          <w:b/>
        </w:rPr>
      </w:pPr>
      <w:bookmarkStart w:id="2" w:name="_Toc379297822"/>
      <w:bookmarkStart w:id="3" w:name="_Toc514146640"/>
      <w:r w:rsidRPr="003A549E">
        <w:rPr>
          <w:rFonts w:ascii="Times New Roman" w:hAnsi="Times New Roman" w:cs="Times New Roman"/>
          <w:b/>
        </w:rPr>
        <w:t>Amaç, Kapsam, Dayanak ve Tanımlar</w:t>
      </w:r>
      <w:bookmarkEnd w:id="2"/>
      <w:bookmarkEnd w:id="3"/>
    </w:p>
    <w:p w:rsidR="003A549E" w:rsidRPr="003B7EAD" w:rsidRDefault="003B7EAD" w:rsidP="003B7EAD">
      <w:pPr>
        <w:spacing w:after="0" w:line="240" w:lineRule="auto"/>
        <w:rPr>
          <w:rFonts w:ascii="Times New Roman" w:hAnsi="Times New Roman" w:cs="Times New Roman"/>
          <w:b/>
          <w:sz w:val="24"/>
          <w:szCs w:val="24"/>
          <w:lang w:eastAsia="tr-TR"/>
        </w:rPr>
      </w:pPr>
      <w:r w:rsidRPr="003B7EAD">
        <w:rPr>
          <w:rFonts w:ascii="Times New Roman" w:hAnsi="Times New Roman" w:cs="Times New Roman"/>
          <w:b/>
          <w:sz w:val="24"/>
          <w:szCs w:val="24"/>
          <w:lang w:eastAsia="tr-TR"/>
        </w:rPr>
        <w:t>Amaç</w:t>
      </w:r>
    </w:p>
    <w:p w:rsidR="003A549E" w:rsidRPr="003B7EAD" w:rsidRDefault="003A549E" w:rsidP="003B7EAD">
      <w:pPr>
        <w:pStyle w:val="Balk2"/>
        <w:spacing w:before="0"/>
        <w:jc w:val="both"/>
        <w:rPr>
          <w:rFonts w:ascii="Times New Roman" w:hAnsi="Times New Roman" w:cs="Times New Roman"/>
          <w:b/>
        </w:rPr>
      </w:pPr>
      <w:bookmarkStart w:id="4" w:name="_Toc379297823"/>
      <w:bookmarkStart w:id="5" w:name="_Toc514146641"/>
      <w:r w:rsidRPr="003A549E">
        <w:rPr>
          <w:rStyle w:val="Balk2Char"/>
          <w:rFonts w:ascii="Times New Roman" w:hAnsi="Times New Roman" w:cs="Times New Roman"/>
          <w:b/>
        </w:rPr>
        <w:t xml:space="preserve">Madde 1 – </w:t>
      </w:r>
      <w:bookmarkEnd w:id="4"/>
      <w:bookmarkEnd w:id="5"/>
      <w:r w:rsidRPr="003A549E">
        <w:rPr>
          <w:rFonts w:ascii="Times New Roman" w:eastAsia="Times New Roman" w:hAnsi="Times New Roman" w:cs="Times New Roman"/>
        </w:rPr>
        <w:t xml:space="preserve">Bu Yönergenin amacı, Çankaya Üniversitesinde yapılan bilimsel çalışmalar sonucu ortaya çıkan ve fikri ve sınai mülkiyete konu ürünlerin korunması, Çankaya Üniversitesi ile bu fikri ürünleri ortaya çıkaran Buluş Sahipleri arasındaki Fikri ve Sınai Hakların belirlenmesi, buluş bildirimlerinin yapılması, korunması, ticarileştirilmesi ve lisanslanması konusundaki faaliyetler ile çalışma usul ve esaslarını düzenlemektir. </w:t>
      </w:r>
    </w:p>
    <w:p w:rsidR="003A549E" w:rsidRDefault="003A549E" w:rsidP="003B7EAD">
      <w:pPr>
        <w:shd w:val="clear" w:color="auto" w:fill="FFFFFF"/>
        <w:spacing w:after="0" w:line="240" w:lineRule="auto"/>
        <w:rPr>
          <w:rFonts w:ascii="Times New Roman" w:eastAsia="Times New Roman" w:hAnsi="Times New Roman" w:cs="Times New Roman"/>
          <w:sz w:val="24"/>
          <w:szCs w:val="24"/>
          <w:lang w:eastAsia="tr-TR"/>
        </w:rPr>
      </w:pPr>
    </w:p>
    <w:p w:rsidR="003B7EAD" w:rsidRPr="003B7EAD" w:rsidRDefault="003B7EAD" w:rsidP="003B7EAD">
      <w:pPr>
        <w:shd w:val="clear" w:color="auto" w:fill="FFFFFF"/>
        <w:spacing w:after="0" w:line="240" w:lineRule="auto"/>
        <w:rPr>
          <w:rFonts w:ascii="Times New Roman" w:eastAsia="Times New Roman" w:hAnsi="Times New Roman" w:cs="Times New Roman"/>
          <w:b/>
          <w:sz w:val="24"/>
          <w:szCs w:val="24"/>
          <w:lang w:eastAsia="tr-TR"/>
        </w:rPr>
      </w:pPr>
      <w:r w:rsidRPr="003B7EAD">
        <w:rPr>
          <w:rFonts w:ascii="Times New Roman" w:eastAsia="Times New Roman" w:hAnsi="Times New Roman" w:cs="Times New Roman"/>
          <w:b/>
          <w:sz w:val="24"/>
          <w:szCs w:val="24"/>
          <w:lang w:eastAsia="tr-TR"/>
        </w:rPr>
        <w:t>Kapsam</w:t>
      </w:r>
    </w:p>
    <w:p w:rsidR="003A549E" w:rsidRPr="003B7EAD" w:rsidRDefault="003A549E" w:rsidP="003B7EAD">
      <w:pPr>
        <w:pStyle w:val="Balk2"/>
        <w:spacing w:before="0"/>
        <w:jc w:val="both"/>
        <w:rPr>
          <w:rFonts w:ascii="Times New Roman" w:eastAsiaTheme="majorEastAsia" w:hAnsi="Times New Roman" w:cs="Times New Roman"/>
          <w:b/>
        </w:rPr>
      </w:pPr>
      <w:bookmarkStart w:id="6" w:name="_Toc379297824"/>
      <w:bookmarkStart w:id="7" w:name="_Toc514146642"/>
      <w:r w:rsidRPr="003A549E">
        <w:rPr>
          <w:rStyle w:val="Balk2Char"/>
          <w:rFonts w:ascii="Times New Roman" w:hAnsi="Times New Roman" w:cs="Times New Roman"/>
          <w:b/>
        </w:rPr>
        <w:t xml:space="preserve">Madde 2 – </w:t>
      </w:r>
      <w:bookmarkEnd w:id="6"/>
      <w:bookmarkEnd w:id="7"/>
      <w:r w:rsidRPr="003A549E">
        <w:rPr>
          <w:rStyle w:val="Balk3Char"/>
          <w:rFonts w:ascii="Times New Roman" w:hAnsi="Times New Roman" w:cs="Times New Roman"/>
          <w:b/>
        </w:rPr>
        <w:t xml:space="preserve"> </w:t>
      </w:r>
      <w:r w:rsidRPr="003A549E">
        <w:rPr>
          <w:rFonts w:ascii="Times New Roman" w:eastAsia="Times New Roman" w:hAnsi="Times New Roman" w:cs="Times New Roman"/>
        </w:rPr>
        <w:t xml:space="preserve">Bu Yönerge, Çankaya Üniversitesinin fikri ve sınai mülkiyet haklarını korumaya ilişkin çalışma şekli kuralları; Üniversiteden hak bedellerinin tamamını veya bir kısmını veya herhangi bir bedel alıp almadıklarına bakılmaksızın tam zamanlı veya yarı zamanlı çalışan öğretim elemanlarını, misafir öğretim elemanlarını, tam zamanlı ve yarı zamanlı diğer çalışanları, tam ve yarı zamanlı öğrencileri (lisans ve lisansüstü) ve araştırmacılar (doktora öncesi ve sonrası) dahil olmak üzere Üniversitedeki tüm kişileri kapsar. </w:t>
      </w:r>
    </w:p>
    <w:p w:rsidR="003A549E" w:rsidRDefault="003A549E" w:rsidP="003B7EAD">
      <w:pPr>
        <w:spacing w:after="0" w:line="240" w:lineRule="auto"/>
        <w:rPr>
          <w:rFonts w:ascii="Times New Roman" w:eastAsia="Times New Roman" w:hAnsi="Times New Roman" w:cs="Times New Roman"/>
          <w:sz w:val="24"/>
          <w:szCs w:val="24"/>
          <w:lang w:eastAsia="tr-TR"/>
        </w:rPr>
      </w:pPr>
    </w:p>
    <w:p w:rsidR="003B7EAD" w:rsidRPr="003B7EAD" w:rsidRDefault="003B7EAD" w:rsidP="003B7EAD">
      <w:pPr>
        <w:spacing w:after="0" w:line="240" w:lineRule="auto"/>
        <w:rPr>
          <w:rFonts w:ascii="Times New Roman" w:eastAsia="Times New Roman" w:hAnsi="Times New Roman" w:cs="Times New Roman"/>
          <w:b/>
          <w:sz w:val="24"/>
          <w:szCs w:val="24"/>
          <w:lang w:eastAsia="tr-TR"/>
        </w:rPr>
      </w:pPr>
      <w:r w:rsidRPr="003B7EAD">
        <w:rPr>
          <w:rFonts w:ascii="Times New Roman" w:eastAsia="Times New Roman" w:hAnsi="Times New Roman" w:cs="Times New Roman"/>
          <w:b/>
          <w:sz w:val="24"/>
          <w:szCs w:val="24"/>
          <w:lang w:eastAsia="tr-TR"/>
        </w:rPr>
        <w:t>Dayanak</w:t>
      </w:r>
    </w:p>
    <w:p w:rsidR="003A549E" w:rsidRDefault="003A549E" w:rsidP="003B7EAD">
      <w:pPr>
        <w:pStyle w:val="Balk2"/>
        <w:spacing w:before="0"/>
        <w:jc w:val="both"/>
        <w:rPr>
          <w:rFonts w:ascii="Times New Roman" w:hAnsi="Times New Roman" w:cs="Times New Roman"/>
        </w:rPr>
      </w:pPr>
      <w:bookmarkStart w:id="8" w:name="_Toc379297825"/>
      <w:bookmarkStart w:id="9" w:name="_Toc514146643"/>
      <w:r w:rsidRPr="003A549E">
        <w:rPr>
          <w:rStyle w:val="Balk2Char"/>
          <w:rFonts w:ascii="Times New Roman" w:hAnsi="Times New Roman" w:cs="Times New Roman"/>
          <w:b/>
        </w:rPr>
        <w:t xml:space="preserve">Madde 3 – </w:t>
      </w:r>
      <w:bookmarkEnd w:id="8"/>
      <w:bookmarkEnd w:id="9"/>
      <w:r w:rsidRPr="003A549E">
        <w:rPr>
          <w:rStyle w:val="Balk2Char"/>
          <w:rFonts w:ascii="Times New Roman" w:hAnsi="Times New Roman" w:cs="Times New Roman"/>
          <w:b/>
        </w:rPr>
        <w:t xml:space="preserve"> </w:t>
      </w:r>
      <w:r w:rsidRPr="003B7EAD">
        <w:rPr>
          <w:rFonts w:ascii="Times New Roman" w:hAnsi="Times New Roman" w:cs="Times New Roman"/>
        </w:rPr>
        <w:t xml:space="preserve">Bu Yönerge, 21.08.2013 tarih ve 28742 sayılı Resmi Gazete’de yayımlanan “Çankaya Üniversitesi Teknoloji Transfer Ofisi Uygulama Ve Araştırma Merkezi Yönetmeliği”ne, “Çankaya Üniversitesi Politika ve Strateji Belgesi”ne, 2547 sayılı Yüksek Öğretim Kanununa, 2809 sayılı Yükseköğretim Kurumları Teşkilat Kanununa, 10.01.2017 tarihli Resmi Gazete’ de yayımlanan 6769 sayılı Sınai Mülkiyet Kanunu’na, 24.04.2017 tarihli ve 30047 sayılı Resmi Gazete’ de yayımlanan Sınai Mülkiyet Kanununun Uygulamasına Dair Yönetmeliğe, 29.09.2017 tarihli ve 30195 sayılı Resmi Gazete’ de yayımlanan Çalışan Buluşlarına, Yükseköğretim Kurumlarında Gerçekleştirilen Buluşlara Ve Kamu Destekli Projelerde Ortaya Çıkan Buluşlara Dair Yönetmeliğe ve diğer ulusal yasal düzenlemelere, bölgesel ve uluslararası antlaşmalara dayanılarak hazırlanmıştır. </w:t>
      </w:r>
    </w:p>
    <w:p w:rsidR="003B7EAD" w:rsidRDefault="003B7EAD" w:rsidP="003B7EAD">
      <w:pPr>
        <w:spacing w:after="0" w:line="240" w:lineRule="auto"/>
        <w:rPr>
          <w:lang w:eastAsia="tr-TR"/>
        </w:rPr>
      </w:pPr>
    </w:p>
    <w:p w:rsidR="003B7EAD" w:rsidRPr="003B7EAD" w:rsidRDefault="003B7EAD" w:rsidP="003B7EAD">
      <w:pPr>
        <w:spacing w:after="0" w:line="240" w:lineRule="auto"/>
        <w:rPr>
          <w:rFonts w:ascii="Times New Roman" w:hAnsi="Times New Roman" w:cs="Times New Roman"/>
          <w:b/>
          <w:sz w:val="24"/>
          <w:szCs w:val="24"/>
          <w:lang w:eastAsia="tr-TR"/>
        </w:rPr>
      </w:pPr>
      <w:r w:rsidRPr="003B7EAD">
        <w:rPr>
          <w:rFonts w:ascii="Times New Roman" w:hAnsi="Times New Roman" w:cs="Times New Roman"/>
          <w:b/>
          <w:sz w:val="24"/>
          <w:szCs w:val="24"/>
          <w:lang w:eastAsia="tr-TR"/>
        </w:rPr>
        <w:t>Tanımlar</w:t>
      </w:r>
    </w:p>
    <w:p w:rsidR="003A549E" w:rsidRPr="003A549E" w:rsidRDefault="003A549E" w:rsidP="003B7EAD">
      <w:pPr>
        <w:pStyle w:val="Balk2"/>
        <w:spacing w:before="0"/>
        <w:rPr>
          <w:rFonts w:ascii="Times New Roman" w:hAnsi="Times New Roman" w:cs="Times New Roman"/>
        </w:rPr>
      </w:pPr>
      <w:bookmarkStart w:id="10" w:name="_Toc379297826"/>
      <w:bookmarkStart w:id="11" w:name="_Toc514146644"/>
      <w:r w:rsidRPr="003A549E">
        <w:rPr>
          <w:rStyle w:val="Balk2Char"/>
          <w:rFonts w:ascii="Times New Roman" w:hAnsi="Times New Roman" w:cs="Times New Roman"/>
          <w:b/>
          <w:lang w:eastAsia="ja-JP"/>
        </w:rPr>
        <w:t xml:space="preserve">Madde 4 – </w:t>
      </w:r>
      <w:bookmarkEnd w:id="10"/>
      <w:bookmarkEnd w:id="11"/>
      <w:r w:rsidRPr="003A549E">
        <w:rPr>
          <w:rFonts w:ascii="Times New Roman" w:hAnsi="Times New Roman" w:cs="Times New Roman"/>
        </w:rPr>
        <w:t xml:space="preserve">Bu Yönergede geçen; </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Üniversite:</w:t>
      </w:r>
      <w:r w:rsidRPr="003A549E">
        <w:rPr>
          <w:lang w:val="tr-TR" w:eastAsia="tr-TR"/>
        </w:rPr>
        <w:t xml:space="preserve"> Çankaya Üniversitesini,</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Mütevelli Heyeti:</w:t>
      </w:r>
      <w:r w:rsidRPr="003A549E">
        <w:rPr>
          <w:lang w:val="tr-TR" w:eastAsia="tr-TR"/>
        </w:rPr>
        <w:t xml:space="preserve"> Çankaya Üniversitesi Mütevelli Heyetini,</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Rektör:</w:t>
      </w:r>
      <w:r w:rsidRPr="003A549E">
        <w:rPr>
          <w:lang w:val="tr-TR" w:eastAsia="tr-TR"/>
        </w:rPr>
        <w:t xml:space="preserve"> Çankaya Üniversitesi Rektörünü,</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Yönetim Kurulu:</w:t>
      </w:r>
      <w:r w:rsidRPr="003A549E">
        <w:rPr>
          <w:lang w:val="tr-TR" w:eastAsia="tr-TR"/>
        </w:rPr>
        <w:t xml:space="preserve"> Çankaya Üniversitesi Teknoloji Transfer Ofisi Uygulama ve Araştırma Merkezi Yönetim Kurulunu,</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FSHK:</w:t>
      </w:r>
      <w:r w:rsidRPr="003A549E">
        <w:rPr>
          <w:lang w:val="tr-TR" w:eastAsia="tr-TR"/>
        </w:rPr>
        <w:t xml:space="preserve"> Çankaya Üniversitesi Fikri ve Sınai Haklar Komisyonunu,</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TTO veya Merkez</w:t>
      </w:r>
      <w:r w:rsidRPr="003A549E">
        <w:rPr>
          <w:lang w:val="tr-TR" w:eastAsia="tr-TR"/>
        </w:rPr>
        <w:t>: Çankaya Üniversitesi Teknoloji Transfer Ofisi Uygulama ve Araştırma Merkezini,</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Müdür:</w:t>
      </w:r>
      <w:r w:rsidRPr="003A549E">
        <w:rPr>
          <w:lang w:val="tr-TR" w:eastAsia="tr-TR"/>
        </w:rPr>
        <w:t xml:space="preserve"> Çankaya Üniversitesi Teknoloji Transfer Ofisi Uygulama ve Araştırma Merkezi Müdürünü,</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Akademik Birimler:</w:t>
      </w:r>
      <w:r w:rsidRPr="003A549E">
        <w:rPr>
          <w:lang w:val="tr-TR" w:eastAsia="tr-TR"/>
        </w:rPr>
        <w:t xml:space="preserve"> Üniversitenin Fakülteleri, Yüksekokulları, Meslek Yüksekokulları, Enstitüleri, Araştırma ve Uygulama Merkezleri ile Rektörlüğe bağlı akademik birimleri, </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SMK:</w:t>
      </w:r>
      <w:r w:rsidRPr="003A549E">
        <w:rPr>
          <w:lang w:val="tr-TR" w:eastAsia="tr-TR"/>
        </w:rPr>
        <w:t xml:space="preserve"> Sınai Mülkiyet Kanunu’ nu</w:t>
      </w:r>
    </w:p>
    <w:p w:rsidR="003A549E" w:rsidRPr="003A549E" w:rsidRDefault="003A549E" w:rsidP="003B7EAD">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3A549E">
        <w:rPr>
          <w:rFonts w:ascii="Times New Roman" w:eastAsia="Times New Roman" w:hAnsi="Times New Roman" w:cs="Times New Roman"/>
          <w:b/>
          <w:sz w:val="24"/>
          <w:szCs w:val="24"/>
          <w:lang w:eastAsia="tr-TR"/>
        </w:rPr>
        <w:t>Sınai Mülkiyet Hakları:</w:t>
      </w:r>
      <w:r w:rsidRPr="003A549E">
        <w:rPr>
          <w:rFonts w:ascii="Times New Roman" w:eastAsia="Times New Roman" w:hAnsi="Times New Roman" w:cs="Times New Roman"/>
          <w:sz w:val="24"/>
          <w:szCs w:val="24"/>
          <w:lang w:eastAsia="tr-TR"/>
        </w:rPr>
        <w:t xml:space="preserve"> </w:t>
      </w:r>
      <w:r w:rsidRPr="003A549E">
        <w:rPr>
          <w:rFonts w:ascii="Times New Roman" w:hAnsi="Times New Roman" w:cs="Times New Roman"/>
          <w:sz w:val="24"/>
          <w:szCs w:val="24"/>
        </w:rPr>
        <w:t xml:space="preserve">Buluş Sahibi tarafından üretilen veya geliştirilen, fikrî faaliyet sonucu ortaya çıkan, patent veya faydalı model belgesi ile korunabilir buluşlar, endüstriyel tasarım, marka, coğrafi işaretler, entegre devre topografyası ve yeni bitki ve hayvan türleri ve bunların ıslah yöntemleri, bilgisayar programları ve bunların kaynak kodları ile ticari gizlilik anlaşması ile korunabilen teknik bilgi, ticari sır ve bunlar için yapılan başvurular ya da başvuru yapma hakları dâhil olmak üzere, bunların her türlü uzatma ve yenileme hakları, </w:t>
      </w:r>
      <w:r w:rsidRPr="003A549E">
        <w:rPr>
          <w:rFonts w:ascii="Times New Roman" w:hAnsi="Times New Roman" w:cs="Times New Roman"/>
          <w:sz w:val="24"/>
          <w:szCs w:val="24"/>
        </w:rPr>
        <w:lastRenderedPageBreak/>
        <w:t>her durum ve halde dünyanın her yerinde dengi ya da benzeri etkiye sahip her türlü hak veya korumaya uygun formlarıdır.</w:t>
      </w:r>
      <w:r w:rsidRPr="003A549E">
        <w:rPr>
          <w:rFonts w:ascii="Times New Roman" w:eastAsia="Times New Roman" w:hAnsi="Times New Roman" w:cs="Times New Roman"/>
          <w:sz w:val="24"/>
          <w:szCs w:val="24"/>
          <w:lang w:eastAsia="tr-TR"/>
        </w:rPr>
        <w:t xml:space="preserve"> </w:t>
      </w:r>
    </w:p>
    <w:p w:rsidR="003A549E" w:rsidRPr="003A549E" w:rsidRDefault="003A549E" w:rsidP="003B7EAD">
      <w:pPr>
        <w:pStyle w:val="NormalWeb"/>
        <w:numPr>
          <w:ilvl w:val="0"/>
          <w:numId w:val="4"/>
        </w:numPr>
        <w:spacing w:before="0" w:beforeAutospacing="0" w:after="0" w:afterAutospacing="0"/>
        <w:jc w:val="both"/>
        <w:rPr>
          <w:b/>
          <w:lang w:val="tr-TR" w:eastAsia="tr-TR"/>
        </w:rPr>
      </w:pPr>
      <w:r w:rsidRPr="003A549E">
        <w:rPr>
          <w:b/>
          <w:lang w:val="tr-TR" w:eastAsia="tr-TR"/>
        </w:rPr>
        <w:t xml:space="preserve">Buluş: </w:t>
      </w:r>
      <w:r w:rsidRPr="003A549E">
        <w:rPr>
          <w:lang w:val="tr-TR" w:eastAsia="tr-TR"/>
        </w:rPr>
        <w:t>Tarım alanı dâhil olmak üzere sanayinin herhangi bir kolunda mevcut problemlere teknik çözüm getiren yeni bir cihaz, ürün veya yöntemlerin tümü</w:t>
      </w:r>
    </w:p>
    <w:p w:rsidR="003A549E" w:rsidRPr="003A549E" w:rsidRDefault="003A549E" w:rsidP="003B7EAD">
      <w:pPr>
        <w:pStyle w:val="NormalWeb"/>
        <w:numPr>
          <w:ilvl w:val="0"/>
          <w:numId w:val="4"/>
        </w:numPr>
        <w:spacing w:before="0" w:beforeAutospacing="0" w:after="0" w:afterAutospacing="0"/>
        <w:jc w:val="both"/>
        <w:rPr>
          <w:b/>
          <w:lang w:val="tr-TR" w:eastAsia="tr-TR"/>
        </w:rPr>
      </w:pPr>
      <w:r w:rsidRPr="003A549E">
        <w:rPr>
          <w:b/>
          <w:lang w:val="tr-TR" w:eastAsia="tr-TR"/>
        </w:rPr>
        <w:t xml:space="preserve">Buluş Sahibi ve/veya Sahipleri: </w:t>
      </w:r>
      <w:r w:rsidRPr="003A549E">
        <w:rPr>
          <w:lang w:val="tr-TR" w:eastAsia="tr-TR"/>
        </w:rPr>
        <w:t>Üniversiteden hak bedellerinin tamamını veya bir kısmını veya herhangi bir bedel alıp almadıklarına bakılmaksızın tam zamanlı veya yarı zamanlı çalışan öğretim elemanları, misafir öğretim elemanlarını, tam zamanlı ve yarı zamanlı diğer çalışanları, tam ve yarı zamanlı öğrencileri (lisans ve lisansüstü) ve araştırmacılar (doktora öncesi ve sonrası) dahil olmak üzere Üniversitedeki tüm kişileri,</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Patent:</w:t>
      </w:r>
      <w:r w:rsidRPr="003A549E">
        <w:rPr>
          <w:lang w:val="tr-TR" w:eastAsia="tr-TR"/>
        </w:rPr>
        <w:t xml:space="preserve"> Bilimsel ve teknik bir buluşun ya da böyle bir buluşu uygulama alanında kullanma hakkının kime ait olduğunu gösteren resmi belge.</w:t>
      </w:r>
      <w:r w:rsidRPr="003A549E">
        <w:rPr>
          <w:b/>
          <w:lang w:val="tr-TR" w:eastAsia="tr-TR"/>
        </w:rPr>
        <w:t xml:space="preserve"> </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BBF:</w:t>
      </w:r>
      <w:r w:rsidRPr="003A549E">
        <w:rPr>
          <w:lang w:val="tr-TR" w:eastAsia="tr-TR"/>
        </w:rPr>
        <w:t xml:space="preserve"> Buluş Bildirim Formunu,</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MAF:</w:t>
      </w:r>
      <w:r w:rsidRPr="003A549E">
        <w:rPr>
          <w:lang w:val="tr-TR" w:eastAsia="tr-TR"/>
        </w:rPr>
        <w:t xml:space="preserve"> Market Analiz Formunu,</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Proje:</w:t>
      </w:r>
      <w:r w:rsidRPr="003A549E">
        <w:rPr>
          <w:lang w:val="tr-TR" w:eastAsia="tr-TR"/>
        </w:rPr>
        <w:t xml:space="preserve"> Bu yönerge kapsamındaki projeleri,</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Hizmet Buluşları:</w:t>
      </w:r>
      <w:r w:rsidRPr="003A549E">
        <w:rPr>
          <w:lang w:val="tr-TR" w:eastAsia="tr-TR"/>
        </w:rPr>
        <w:t xml:space="preserve"> Buluş yapan Çankaya Üniversitesi öğretim elemanlarının buluşları; Çankaya Üniversitesi idari personeli, Çankaya Üniversitesi öğrencilerinin Üniversite kaynaklarıyla yaptıkları projelerden ortaya çıkan buluşlar; Çankaya Üniversitesi ile ortak yapılan projelerde görev alanların bildirmekle yükümlü</w:t>
      </w:r>
      <w:r w:rsidRPr="003A549E">
        <w:rPr>
          <w:lang w:val="tr-TR"/>
        </w:rPr>
        <w:t xml:space="preserve"> </w:t>
      </w:r>
      <w:r w:rsidRPr="003A549E">
        <w:rPr>
          <w:lang w:val="tr-TR" w:eastAsia="tr-TR"/>
        </w:rPr>
        <w:t>olduğu ve bildirimlerin Çankaya Üniversitesi tarafından hizmet buluşu olarak kabul edilen buluşları,</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Serbest Buluşlar:</w:t>
      </w:r>
      <w:r w:rsidRPr="003A549E">
        <w:rPr>
          <w:lang w:val="tr-TR" w:eastAsia="tr-TR"/>
        </w:rPr>
        <w:t xml:space="preserve"> Hizmet buluşlarının dışında kalan diğer buluşları,</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Ticarileştirme:</w:t>
      </w:r>
      <w:r w:rsidRPr="003A549E">
        <w:rPr>
          <w:lang w:val="tr-TR" w:eastAsia="tr-TR"/>
        </w:rPr>
        <w:t xml:space="preserve"> Fikri ve Sınai Hakların devir, lisans, kuluçka merkezi (inkübator), filiz (spin-off) şirketi veya herhangi başka bir şekilde kullanılması da dâhil olmak üzere ticari amaçla tasarrufunu,</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Ar-Ge:</w:t>
      </w:r>
      <w:r w:rsidRPr="003A549E">
        <w:rPr>
          <w:lang w:val="tr-TR" w:eastAsia="tr-TR"/>
        </w:rPr>
        <w:t xml:space="preserve"> Araştırma ve geliştirme faaliyetlerini,</w:t>
      </w:r>
    </w:p>
    <w:p w:rsidR="003A549E" w:rsidRPr="003A549E" w:rsidRDefault="003A549E" w:rsidP="003B7EAD">
      <w:pPr>
        <w:pStyle w:val="NormalWeb"/>
        <w:numPr>
          <w:ilvl w:val="0"/>
          <w:numId w:val="4"/>
        </w:numPr>
        <w:spacing w:before="0" w:beforeAutospacing="0" w:after="0" w:afterAutospacing="0"/>
        <w:jc w:val="both"/>
        <w:rPr>
          <w:lang w:val="tr-TR" w:eastAsia="tr-TR"/>
        </w:rPr>
      </w:pPr>
      <w:r w:rsidRPr="003A549E">
        <w:rPr>
          <w:b/>
          <w:lang w:val="tr-TR" w:eastAsia="tr-TR"/>
        </w:rPr>
        <w:t>Fikir Ürünü:</w:t>
      </w:r>
      <w:r w:rsidRPr="003A549E">
        <w:rPr>
          <w:lang w:val="tr-TR" w:eastAsia="tr-TR"/>
        </w:rPr>
        <w:t xml:space="preserve"> Burada sayılanlarla sınırlı olmamak üzere; patentler, markalar, inovasyon dahil buluşlar, endüstriyel tasarımlar, entegre devre topografyaları, internet alan adları, veri tabanları, bilgisayar yazılımları, ticaret sırları ve diğer fikir ürünlerini, ifade eder.</w:t>
      </w:r>
    </w:p>
    <w:p w:rsidR="003A549E" w:rsidRPr="003A549E" w:rsidRDefault="003A549E" w:rsidP="003B7EAD">
      <w:pPr>
        <w:pStyle w:val="NormalWeb"/>
        <w:spacing w:before="0" w:beforeAutospacing="0" w:after="0" w:afterAutospacing="0"/>
        <w:jc w:val="both"/>
        <w:rPr>
          <w:lang w:val="tr-TR" w:eastAsia="tr-TR"/>
        </w:rPr>
      </w:pPr>
    </w:p>
    <w:p w:rsidR="003A549E" w:rsidRPr="003A549E" w:rsidRDefault="003A549E" w:rsidP="003B7EAD">
      <w:pPr>
        <w:pStyle w:val="Balk1"/>
        <w:numPr>
          <w:ilvl w:val="0"/>
          <w:numId w:val="0"/>
        </w:numPr>
        <w:spacing w:before="0" w:after="0"/>
        <w:ind w:left="360"/>
        <w:jc w:val="center"/>
        <w:rPr>
          <w:rFonts w:ascii="Times New Roman" w:hAnsi="Times New Roman"/>
          <w:sz w:val="24"/>
          <w:szCs w:val="24"/>
          <w:lang w:val="tr-TR"/>
        </w:rPr>
      </w:pPr>
      <w:bookmarkStart w:id="12" w:name="_Toc379297827"/>
      <w:bookmarkStart w:id="13" w:name="_Toc514146645"/>
      <w:r w:rsidRPr="003A549E">
        <w:rPr>
          <w:rFonts w:ascii="Times New Roman" w:hAnsi="Times New Roman"/>
          <w:sz w:val="24"/>
          <w:szCs w:val="24"/>
          <w:lang w:val="tr-TR"/>
        </w:rPr>
        <w:t>İKİNCİ BÖLÜM</w:t>
      </w:r>
      <w:bookmarkStart w:id="14" w:name="_Toc365488083"/>
      <w:bookmarkStart w:id="15" w:name="_Toc379297828"/>
      <w:bookmarkEnd w:id="12"/>
      <w:bookmarkEnd w:id="13"/>
    </w:p>
    <w:p w:rsidR="003A549E" w:rsidRDefault="003A549E" w:rsidP="000D37ED">
      <w:pPr>
        <w:pStyle w:val="Balk2"/>
        <w:spacing w:before="0"/>
        <w:jc w:val="center"/>
        <w:rPr>
          <w:rFonts w:ascii="Times New Roman" w:hAnsi="Times New Roman" w:cs="Times New Roman"/>
          <w:b/>
        </w:rPr>
      </w:pPr>
      <w:bookmarkStart w:id="16" w:name="_Toc514146646"/>
      <w:r w:rsidRPr="003A549E">
        <w:rPr>
          <w:rFonts w:ascii="Times New Roman" w:hAnsi="Times New Roman" w:cs="Times New Roman"/>
          <w:b/>
        </w:rPr>
        <w:t xml:space="preserve">Fikri ve Sınai Haklar, </w:t>
      </w:r>
      <w:bookmarkEnd w:id="14"/>
      <w:r w:rsidRPr="003A549E">
        <w:rPr>
          <w:rFonts w:ascii="Times New Roman" w:hAnsi="Times New Roman" w:cs="Times New Roman"/>
          <w:b/>
        </w:rPr>
        <w:t>Üniversite Hakları,  Fikri ve Sınai Haklar Komisyonu</w:t>
      </w:r>
      <w:bookmarkEnd w:id="15"/>
      <w:bookmarkEnd w:id="16"/>
    </w:p>
    <w:p w:rsidR="003B7EAD" w:rsidRDefault="003B7EAD" w:rsidP="003B7EAD">
      <w:pPr>
        <w:pStyle w:val="Balk2"/>
        <w:spacing w:before="0"/>
        <w:rPr>
          <w:rFonts w:ascii="Times New Roman" w:hAnsi="Times New Roman" w:cs="Times New Roman"/>
          <w:b/>
        </w:rPr>
      </w:pPr>
    </w:p>
    <w:p w:rsidR="003B7EAD" w:rsidRPr="003A549E" w:rsidRDefault="003B7EAD" w:rsidP="003B7EAD">
      <w:pPr>
        <w:pStyle w:val="Balk2"/>
        <w:spacing w:before="0"/>
        <w:rPr>
          <w:rFonts w:ascii="Times New Roman" w:hAnsi="Times New Roman" w:cs="Times New Roman"/>
          <w:b/>
        </w:rPr>
      </w:pPr>
      <w:r w:rsidRPr="003A549E">
        <w:rPr>
          <w:rFonts w:ascii="Times New Roman" w:hAnsi="Times New Roman" w:cs="Times New Roman"/>
          <w:b/>
        </w:rPr>
        <w:t>Fikri ve Sınai Haklar (FSH)</w:t>
      </w:r>
    </w:p>
    <w:p w:rsidR="003A549E" w:rsidRPr="003B7EAD" w:rsidRDefault="003A549E" w:rsidP="003B7EAD">
      <w:pPr>
        <w:pStyle w:val="Balk2"/>
        <w:spacing w:before="0"/>
        <w:jc w:val="both"/>
        <w:rPr>
          <w:rFonts w:ascii="Times New Roman" w:hAnsi="Times New Roman" w:cs="Times New Roman"/>
          <w:b/>
        </w:rPr>
      </w:pPr>
      <w:bookmarkStart w:id="17" w:name="_Toc379297829"/>
      <w:bookmarkStart w:id="18" w:name="_Toc514146647"/>
      <w:r w:rsidRPr="003A549E">
        <w:rPr>
          <w:rFonts w:ascii="Times New Roman" w:hAnsi="Times New Roman" w:cs="Times New Roman"/>
          <w:b/>
        </w:rPr>
        <w:t xml:space="preserve">Madde 5 – </w:t>
      </w:r>
      <w:bookmarkEnd w:id="17"/>
      <w:bookmarkEnd w:id="18"/>
      <w:r w:rsidRPr="003B7EAD">
        <w:rPr>
          <w:rFonts w:ascii="Times New Roman" w:eastAsia="Times New Roman" w:hAnsi="Times New Roman" w:cs="Times New Roman"/>
        </w:rPr>
        <w:t>Bu yönergeyle; bilgi üreten ve ürettiği bilgiyi paydaşlarıyla birey ve kamu yararına kullanmayı ilke edinmiş olan Çankaya Üniversitesi, bu çerçevede fikri ve sınai haklar kapsamındaki fikir ürünlerinin hak sahipliği, korunması, değerlendirilmesi,  ticarileştirilmesi, gelirin paylaşımı ile ilgili ilke ve esasları belirlerken, aynı zamanda aşağıdaki yararları amaçlar:</w:t>
      </w:r>
    </w:p>
    <w:p w:rsidR="003A549E" w:rsidRPr="003A549E" w:rsidRDefault="003A549E" w:rsidP="003B7EAD">
      <w:pPr>
        <w:pStyle w:val="Default"/>
        <w:numPr>
          <w:ilvl w:val="1"/>
          <w:numId w:val="5"/>
        </w:numPr>
        <w:ind w:left="1134" w:hanging="283"/>
        <w:jc w:val="both"/>
        <w:rPr>
          <w:rFonts w:eastAsia="Times New Roman"/>
          <w:color w:val="auto"/>
        </w:rPr>
      </w:pPr>
      <w:r w:rsidRPr="003A549E">
        <w:rPr>
          <w:rFonts w:eastAsia="Times New Roman"/>
          <w:color w:val="auto"/>
        </w:rPr>
        <w:t xml:space="preserve">Bilimsel araştırmaların özendirilmesi ve desteklenmesi, </w:t>
      </w:r>
    </w:p>
    <w:p w:rsidR="003A549E" w:rsidRPr="003A549E" w:rsidRDefault="003A549E" w:rsidP="003B7EAD">
      <w:pPr>
        <w:pStyle w:val="Default"/>
        <w:numPr>
          <w:ilvl w:val="1"/>
          <w:numId w:val="5"/>
        </w:numPr>
        <w:ind w:left="1134" w:hanging="283"/>
        <w:jc w:val="both"/>
        <w:rPr>
          <w:rFonts w:eastAsia="Times New Roman"/>
          <w:color w:val="auto"/>
        </w:rPr>
      </w:pPr>
      <w:r w:rsidRPr="003A549E">
        <w:rPr>
          <w:rFonts w:eastAsia="Times New Roman"/>
          <w:color w:val="auto"/>
        </w:rPr>
        <w:t>Araştırma ve geliştirme faaliyetleri ve üçüncü taraflarla yürütülecek teknoloji odaklı iş birlikteliklerinde izlenecek esasların belirlenmesi,</w:t>
      </w:r>
    </w:p>
    <w:p w:rsidR="003A549E" w:rsidRPr="003A549E" w:rsidRDefault="003A549E" w:rsidP="003B7EAD">
      <w:pPr>
        <w:pStyle w:val="Default"/>
        <w:numPr>
          <w:ilvl w:val="1"/>
          <w:numId w:val="5"/>
        </w:numPr>
        <w:ind w:left="1134" w:hanging="283"/>
        <w:jc w:val="both"/>
        <w:rPr>
          <w:rFonts w:eastAsia="Times New Roman"/>
          <w:color w:val="auto"/>
        </w:rPr>
      </w:pPr>
      <w:r w:rsidRPr="003A549E">
        <w:rPr>
          <w:rFonts w:eastAsia="Times New Roman"/>
          <w:color w:val="auto"/>
        </w:rPr>
        <w:t xml:space="preserve">Üniversitenin ilgili birimleri tarafından fikri ve sınai haklar kapsamındaki fikir ürünlerinin tespit edilmesi, korunması ve ticarileştirilmesine dair usul ve esasların belirlenmesi, </w:t>
      </w:r>
    </w:p>
    <w:p w:rsidR="003A549E" w:rsidRPr="003A549E" w:rsidRDefault="003A549E" w:rsidP="003B7EAD">
      <w:pPr>
        <w:pStyle w:val="Default"/>
        <w:numPr>
          <w:ilvl w:val="1"/>
          <w:numId w:val="5"/>
        </w:numPr>
        <w:ind w:left="1134" w:hanging="283"/>
        <w:jc w:val="both"/>
        <w:rPr>
          <w:rFonts w:eastAsia="Times New Roman"/>
          <w:color w:val="auto"/>
        </w:rPr>
      </w:pPr>
      <w:r w:rsidRPr="003A549E">
        <w:rPr>
          <w:rFonts w:eastAsia="Times New Roman"/>
          <w:color w:val="auto"/>
        </w:rPr>
        <w:t xml:space="preserve">Üniversitenin fikri ve sınai haklar kapsamındaki fikir ürünlerinin envanterinin çıkarılması, </w:t>
      </w:r>
    </w:p>
    <w:p w:rsidR="003A549E" w:rsidRPr="003A549E" w:rsidRDefault="003A549E" w:rsidP="003B7EAD">
      <w:pPr>
        <w:pStyle w:val="Default"/>
        <w:numPr>
          <w:ilvl w:val="1"/>
          <w:numId w:val="5"/>
        </w:numPr>
        <w:ind w:left="1134" w:hanging="283"/>
        <w:jc w:val="both"/>
        <w:rPr>
          <w:rFonts w:eastAsia="Times New Roman"/>
          <w:color w:val="auto"/>
        </w:rPr>
      </w:pPr>
      <w:r w:rsidRPr="003A549E">
        <w:rPr>
          <w:rFonts w:eastAsia="Times New Roman"/>
          <w:color w:val="auto"/>
        </w:rPr>
        <w:t>Fikri ve sınai haklar kapsamındaki fikir ürünlerinin ticarileştirilmesiyle elde edilecek ekonomik faydaların adil ve hakkaniyetli şekilde taraflar arasında paylaşımının sağlanması,</w:t>
      </w:r>
    </w:p>
    <w:p w:rsidR="003A549E" w:rsidRPr="003A549E" w:rsidRDefault="003A549E" w:rsidP="003B7EAD">
      <w:pPr>
        <w:pStyle w:val="Default"/>
        <w:numPr>
          <w:ilvl w:val="1"/>
          <w:numId w:val="5"/>
        </w:numPr>
        <w:ind w:left="1134" w:hanging="283"/>
        <w:jc w:val="both"/>
        <w:rPr>
          <w:rFonts w:eastAsia="Times New Roman"/>
          <w:color w:val="auto"/>
        </w:rPr>
      </w:pPr>
      <w:r w:rsidRPr="003A549E">
        <w:rPr>
          <w:rFonts w:eastAsia="Times New Roman"/>
          <w:color w:val="auto"/>
        </w:rPr>
        <w:t xml:space="preserve">Bilimsel araştırma ve iş birliktelikleri sonucunda ortaya çıkan fikri ve sınai haklar kapsamındaki fikir ürünlerinin bilimin, insanlığın ve toplumun yararına kullanılmasına imkân yaratılması. </w:t>
      </w:r>
    </w:p>
    <w:p w:rsidR="003A549E" w:rsidRPr="003A549E" w:rsidRDefault="003A549E" w:rsidP="003B7EAD">
      <w:pPr>
        <w:pStyle w:val="Default"/>
        <w:jc w:val="both"/>
        <w:rPr>
          <w:rFonts w:eastAsia="Times New Roman"/>
          <w:color w:val="auto"/>
        </w:rPr>
      </w:pPr>
    </w:p>
    <w:p w:rsidR="003A549E" w:rsidRPr="003A549E" w:rsidRDefault="003A549E" w:rsidP="003B7EAD">
      <w:pPr>
        <w:pStyle w:val="Default"/>
        <w:jc w:val="both"/>
        <w:rPr>
          <w:rFonts w:eastAsia="Times New Roman"/>
          <w:color w:val="auto"/>
        </w:rPr>
      </w:pPr>
    </w:p>
    <w:p w:rsidR="003B7EAD" w:rsidRPr="003A549E" w:rsidRDefault="003B7EAD" w:rsidP="003B7EAD">
      <w:pPr>
        <w:pStyle w:val="Balk2"/>
        <w:spacing w:before="0"/>
        <w:rPr>
          <w:rFonts w:ascii="Times New Roman" w:hAnsi="Times New Roman" w:cs="Times New Roman"/>
          <w:b/>
        </w:rPr>
      </w:pPr>
      <w:bookmarkStart w:id="19" w:name="_Toc379297831"/>
      <w:bookmarkStart w:id="20" w:name="_Toc514146649"/>
      <w:r w:rsidRPr="003A549E">
        <w:rPr>
          <w:rFonts w:ascii="Times New Roman" w:hAnsi="Times New Roman" w:cs="Times New Roman"/>
          <w:b/>
        </w:rPr>
        <w:lastRenderedPageBreak/>
        <w:t>Fikri ve Sınai Haklar Komisyonu (FSHK)</w:t>
      </w:r>
    </w:p>
    <w:p w:rsidR="003B7EAD" w:rsidRDefault="003A549E" w:rsidP="003B7EAD">
      <w:pPr>
        <w:pStyle w:val="Balk2"/>
        <w:spacing w:before="0"/>
        <w:jc w:val="both"/>
        <w:rPr>
          <w:rFonts w:ascii="Times New Roman" w:eastAsia="Times New Roman" w:hAnsi="Times New Roman" w:cs="Times New Roman"/>
        </w:rPr>
      </w:pPr>
      <w:r w:rsidRPr="003A549E">
        <w:rPr>
          <w:rFonts w:ascii="Times New Roman" w:hAnsi="Times New Roman" w:cs="Times New Roman"/>
          <w:b/>
        </w:rPr>
        <w:t xml:space="preserve">Madde 6 – </w:t>
      </w:r>
      <w:bookmarkEnd w:id="19"/>
      <w:bookmarkEnd w:id="20"/>
      <w:r w:rsidRPr="003A549E">
        <w:rPr>
          <w:rFonts w:ascii="Times New Roman" w:eastAsia="Times New Roman" w:hAnsi="Times New Roman" w:cs="Times New Roman"/>
        </w:rPr>
        <w:t>Buluş Sahibinin yaptığı ve fikri hakka konu olabilecek hak oluşturabilecek fikir ürünlerinin korunması, belgelendirilmesi, zaman damgası alınması, ticarileştirme potansiyeline sahip olanların ticari değerlerinin tespit edilmesi ve ticarileştirilmesi ve bunlarla ilgili maliyetlerinin nereden ve nasıl karşılanacağının planlanması, teknoloji transferi konularında izlenecek yol, fikri ve sınai haklar ile ilgili diğer kararların alınması, uygulama ve düzenlemelerin takibi amacıyla Çankaya Üniversitesi bünyesinde bir “Fikri ve Sınai Haklar Komisyonu (FSHK)” oluşturulmuştur.</w:t>
      </w:r>
    </w:p>
    <w:p w:rsidR="003A549E" w:rsidRPr="003B7EAD" w:rsidRDefault="003A549E" w:rsidP="003B7EAD">
      <w:pPr>
        <w:pStyle w:val="Balk2"/>
        <w:spacing w:before="0"/>
        <w:jc w:val="both"/>
        <w:rPr>
          <w:rFonts w:ascii="Times New Roman" w:hAnsi="Times New Roman" w:cs="Times New Roman"/>
          <w:b/>
        </w:rPr>
      </w:pPr>
      <w:r w:rsidRPr="003A549E">
        <w:rPr>
          <w:rFonts w:ascii="Times New Roman" w:eastAsia="Times New Roman" w:hAnsi="Times New Roman" w:cs="Times New Roman"/>
        </w:rPr>
        <w:t xml:space="preserve"> </w:t>
      </w:r>
    </w:p>
    <w:p w:rsidR="003A549E" w:rsidRDefault="003A549E" w:rsidP="003B7EAD">
      <w:pPr>
        <w:spacing w:after="0" w:line="240" w:lineRule="auto"/>
        <w:jc w:val="both"/>
        <w:rPr>
          <w:rFonts w:ascii="Times New Roman" w:hAnsi="Times New Roman" w:cs="Times New Roman"/>
          <w:sz w:val="24"/>
          <w:szCs w:val="24"/>
        </w:rPr>
      </w:pPr>
      <w:r w:rsidRPr="003A549E">
        <w:rPr>
          <w:rFonts w:ascii="Times New Roman" w:hAnsi="Times New Roman" w:cs="Times New Roman"/>
          <w:sz w:val="24"/>
          <w:szCs w:val="24"/>
        </w:rPr>
        <w:t xml:space="preserve">FSHK, Çankaya Üniversitesi Rektörlüğüne bağlı olup, araştırma projelerinden sorumlu Rektör Yardımcısı, TTO Müdürü, </w:t>
      </w:r>
      <w:r w:rsidRPr="003A549E">
        <w:rPr>
          <w:rFonts w:ascii="Times New Roman" w:hAnsi="Times New Roman" w:cs="Times New Roman"/>
          <w:spacing w:val="-2"/>
          <w:sz w:val="24"/>
          <w:szCs w:val="24"/>
        </w:rPr>
        <w:t xml:space="preserve">TTO </w:t>
      </w:r>
      <w:r w:rsidRPr="003A549E">
        <w:rPr>
          <w:rFonts w:ascii="Times New Roman" w:hAnsi="Times New Roman" w:cs="Times New Roman"/>
          <w:bCs/>
          <w:iCs/>
          <w:spacing w:val="-2"/>
          <w:sz w:val="24"/>
          <w:szCs w:val="24"/>
        </w:rPr>
        <w:t>Fikri ve Sınai Hakların Yönetimi ve Lisanslama Birimi Sorumlusu</w:t>
      </w:r>
      <w:r w:rsidRPr="003A549E">
        <w:rPr>
          <w:rFonts w:ascii="Times New Roman" w:hAnsi="Times New Roman" w:cs="Times New Roman"/>
          <w:spacing w:val="-2"/>
          <w:sz w:val="24"/>
          <w:szCs w:val="24"/>
        </w:rPr>
        <w:t xml:space="preserve">, </w:t>
      </w:r>
      <w:r w:rsidRPr="003A549E">
        <w:rPr>
          <w:rFonts w:ascii="Times New Roman" w:hAnsi="Times New Roman" w:cs="Times New Roman"/>
          <w:sz w:val="24"/>
          <w:szCs w:val="24"/>
        </w:rPr>
        <w:t xml:space="preserve">Mühendislik Fakültesinden 1 ve Hukuk Fakültesinden 1 öğretim üyesi olmak üzere 5 kişiden oluşur. FSHK’nın Başkanı Üniversitenin araştırma projelerinden sorumlu Rektörü Yardımcısıdır. FSHK üyelerini Rektör belirler ve onaylanmak üzere Mütevelli Heyetine sunar. Mütevelli Heyeti tarafından onaylanan FSHK üyeleri 3 yıl süre ile görev yapar. Aynı kişiler tekrar atanabilir. </w:t>
      </w:r>
    </w:p>
    <w:p w:rsidR="003B7EAD" w:rsidRPr="003A549E" w:rsidRDefault="003B7EAD" w:rsidP="003B7EAD">
      <w:pPr>
        <w:spacing w:after="0" w:line="240" w:lineRule="auto"/>
        <w:jc w:val="both"/>
        <w:rPr>
          <w:rFonts w:ascii="Times New Roman" w:hAnsi="Times New Roman" w:cs="Times New Roman"/>
          <w:sz w:val="24"/>
          <w:szCs w:val="24"/>
        </w:rPr>
      </w:pPr>
    </w:p>
    <w:p w:rsidR="003A549E" w:rsidRDefault="003A549E" w:rsidP="003B7EAD">
      <w:pPr>
        <w:shd w:val="clear" w:color="auto" w:fill="FFFFFF"/>
        <w:tabs>
          <w:tab w:val="left" w:pos="7771"/>
        </w:tabs>
        <w:spacing w:after="0" w:line="240" w:lineRule="auto"/>
        <w:jc w:val="both"/>
        <w:rPr>
          <w:rFonts w:ascii="Times New Roman" w:hAnsi="Times New Roman" w:cs="Times New Roman"/>
          <w:spacing w:val="-3"/>
          <w:sz w:val="24"/>
          <w:szCs w:val="24"/>
        </w:rPr>
      </w:pPr>
      <w:r w:rsidRPr="003A549E">
        <w:rPr>
          <w:rFonts w:ascii="Times New Roman" w:hAnsi="Times New Roman" w:cs="Times New Roman"/>
          <w:spacing w:val="-2"/>
          <w:sz w:val="24"/>
          <w:szCs w:val="24"/>
        </w:rPr>
        <w:t xml:space="preserve">Kurul, FSHK Başkanının çağrısı ve en az üç üye ile toplanır. FSHK, kararlarını </w:t>
      </w:r>
      <w:r w:rsidRPr="003A549E">
        <w:rPr>
          <w:rFonts w:ascii="Times New Roman" w:hAnsi="Times New Roman" w:cs="Times New Roman"/>
          <w:spacing w:val="-3"/>
          <w:sz w:val="24"/>
          <w:szCs w:val="24"/>
        </w:rPr>
        <w:t xml:space="preserve">oyçokluğu ile alır. </w:t>
      </w:r>
      <w:r w:rsidRPr="003A549E">
        <w:rPr>
          <w:rFonts w:ascii="Times New Roman" w:hAnsi="Times New Roman" w:cs="Times New Roman"/>
          <w:sz w:val="24"/>
          <w:szCs w:val="24"/>
        </w:rPr>
        <w:t xml:space="preserve">Karar alınması gereken konunun niteliğine göre üniversite bünyesinden konunun uzmanları, somut konuda karar alınmasını desteklemek amacıyla, toplantıya davet edilebilir. </w:t>
      </w:r>
      <w:r w:rsidRPr="003A549E">
        <w:rPr>
          <w:rFonts w:ascii="Times New Roman" w:hAnsi="Times New Roman" w:cs="Times New Roman"/>
          <w:spacing w:val="-3"/>
          <w:sz w:val="24"/>
          <w:szCs w:val="24"/>
        </w:rPr>
        <w:t xml:space="preserve">FSHK kararları öneri niteliğinde olup, Mütevelli Heyetinin onayı gerekir. </w:t>
      </w:r>
    </w:p>
    <w:p w:rsidR="003B7EAD" w:rsidRDefault="003B7EAD" w:rsidP="003B7EAD">
      <w:pPr>
        <w:shd w:val="clear" w:color="auto" w:fill="FFFFFF"/>
        <w:tabs>
          <w:tab w:val="left" w:pos="7771"/>
        </w:tabs>
        <w:spacing w:after="0" w:line="240" w:lineRule="auto"/>
        <w:jc w:val="both"/>
        <w:rPr>
          <w:rFonts w:ascii="Times New Roman" w:hAnsi="Times New Roman" w:cs="Times New Roman"/>
          <w:spacing w:val="-3"/>
          <w:sz w:val="24"/>
          <w:szCs w:val="24"/>
        </w:rPr>
      </w:pPr>
    </w:p>
    <w:p w:rsidR="003B7EAD" w:rsidRPr="003B7EAD" w:rsidRDefault="003B7EAD" w:rsidP="003B7EAD">
      <w:pPr>
        <w:shd w:val="clear" w:color="auto" w:fill="FFFFFF"/>
        <w:tabs>
          <w:tab w:val="left" w:pos="7771"/>
        </w:tabs>
        <w:spacing w:after="0" w:line="240" w:lineRule="auto"/>
        <w:jc w:val="both"/>
        <w:rPr>
          <w:rFonts w:ascii="Times New Roman" w:hAnsi="Times New Roman" w:cs="Times New Roman"/>
          <w:spacing w:val="-3"/>
          <w:sz w:val="24"/>
          <w:szCs w:val="24"/>
        </w:rPr>
      </w:pPr>
      <w:r w:rsidRPr="003B7EAD">
        <w:rPr>
          <w:rFonts w:ascii="Times New Roman" w:hAnsi="Times New Roman" w:cs="Times New Roman"/>
          <w:b/>
          <w:sz w:val="24"/>
          <w:szCs w:val="24"/>
        </w:rPr>
        <w:t>Fikri ve Sınai Haklar Komisyonu’nun (FSHK) Görevleri</w:t>
      </w:r>
    </w:p>
    <w:p w:rsidR="003A549E" w:rsidRPr="003A549E" w:rsidRDefault="003A549E" w:rsidP="003B7EAD">
      <w:pPr>
        <w:pStyle w:val="Balk2"/>
        <w:spacing w:before="0"/>
        <w:rPr>
          <w:rFonts w:ascii="Times New Roman" w:hAnsi="Times New Roman" w:cs="Times New Roman"/>
          <w:b/>
        </w:rPr>
      </w:pPr>
      <w:bookmarkStart w:id="21" w:name="_Toc379297832"/>
      <w:bookmarkStart w:id="22" w:name="_Toc514146650"/>
      <w:r w:rsidRPr="003A549E">
        <w:rPr>
          <w:rFonts w:ascii="Times New Roman" w:hAnsi="Times New Roman" w:cs="Times New Roman"/>
          <w:b/>
        </w:rPr>
        <w:t xml:space="preserve">Madde 7 – </w:t>
      </w:r>
      <w:bookmarkStart w:id="23" w:name="_Toc514146651"/>
      <w:bookmarkEnd w:id="21"/>
      <w:bookmarkEnd w:id="22"/>
    </w:p>
    <w:p w:rsidR="003A549E" w:rsidRPr="003A549E" w:rsidRDefault="003A549E" w:rsidP="003B7EAD">
      <w:pPr>
        <w:pStyle w:val="Balk2"/>
        <w:spacing w:before="0"/>
        <w:rPr>
          <w:rFonts w:ascii="Times New Roman" w:hAnsi="Times New Roman" w:cs="Times New Roman"/>
          <w:b/>
        </w:rPr>
      </w:pPr>
      <w:r w:rsidRPr="003A549E">
        <w:rPr>
          <w:rFonts w:ascii="Times New Roman" w:hAnsi="Times New Roman" w:cs="Times New Roman"/>
        </w:rPr>
        <w:t>Fikri Sınai Haklar Komisyonu aşağıdaki görevleri yürütür:</w:t>
      </w:r>
      <w:bookmarkEnd w:id="23"/>
    </w:p>
    <w:p w:rsidR="003A549E" w:rsidRPr="003A549E" w:rsidRDefault="003A549E" w:rsidP="003B7EAD">
      <w:pPr>
        <w:pStyle w:val="NormalWeb"/>
        <w:numPr>
          <w:ilvl w:val="0"/>
          <w:numId w:val="3"/>
        </w:numPr>
        <w:spacing w:before="0" w:beforeAutospacing="0" w:after="0" w:afterAutospacing="0"/>
        <w:ind w:hanging="294"/>
        <w:jc w:val="both"/>
        <w:rPr>
          <w:rFonts w:eastAsiaTheme="minorHAnsi"/>
          <w:lang w:val="tr-TR"/>
        </w:rPr>
      </w:pPr>
      <w:r w:rsidRPr="003A549E">
        <w:rPr>
          <w:rFonts w:eastAsiaTheme="minorHAnsi"/>
          <w:lang w:val="tr-TR"/>
        </w:rPr>
        <w:t>Üniversite’de uygulanacak olan FSH politikalarını belirler,</w:t>
      </w:r>
    </w:p>
    <w:p w:rsidR="003A549E" w:rsidRPr="003A549E" w:rsidRDefault="003A549E" w:rsidP="003B7EAD">
      <w:pPr>
        <w:pStyle w:val="NormalWeb"/>
        <w:numPr>
          <w:ilvl w:val="0"/>
          <w:numId w:val="3"/>
        </w:numPr>
        <w:spacing w:before="0" w:beforeAutospacing="0" w:after="0" w:afterAutospacing="0"/>
        <w:ind w:hanging="294"/>
        <w:jc w:val="both"/>
        <w:rPr>
          <w:rFonts w:eastAsiaTheme="minorHAnsi"/>
          <w:lang w:val="tr-TR"/>
        </w:rPr>
      </w:pPr>
      <w:r w:rsidRPr="003A549E">
        <w:rPr>
          <w:rFonts w:eastAsiaTheme="minorHAnsi"/>
          <w:lang w:val="tr-TR"/>
        </w:rPr>
        <w:t>FSH kapsamındaki tüm fikir ürünlerini idari, hukuki ve ekonomik açıdan yönetir,</w:t>
      </w:r>
    </w:p>
    <w:p w:rsidR="003A549E" w:rsidRPr="003A549E" w:rsidRDefault="003A549E" w:rsidP="003B7EAD">
      <w:pPr>
        <w:widowControl w:val="0"/>
        <w:numPr>
          <w:ilvl w:val="0"/>
          <w:numId w:val="3"/>
        </w:numPr>
        <w:shd w:val="clear" w:color="auto" w:fill="FFFFFF"/>
        <w:tabs>
          <w:tab w:val="left" w:pos="1454"/>
        </w:tabs>
        <w:autoSpaceDE w:val="0"/>
        <w:autoSpaceDN w:val="0"/>
        <w:adjustRightInd w:val="0"/>
        <w:spacing w:after="0" w:line="240" w:lineRule="auto"/>
        <w:ind w:hanging="294"/>
        <w:jc w:val="both"/>
        <w:rPr>
          <w:rFonts w:ascii="Times New Roman" w:hAnsi="Times New Roman" w:cs="Times New Roman"/>
          <w:sz w:val="24"/>
          <w:szCs w:val="24"/>
        </w:rPr>
      </w:pPr>
      <w:r w:rsidRPr="003A549E">
        <w:rPr>
          <w:rFonts w:ascii="Times New Roman" w:hAnsi="Times New Roman" w:cs="Times New Roman"/>
          <w:spacing w:val="1"/>
          <w:sz w:val="24"/>
          <w:szCs w:val="24"/>
        </w:rPr>
        <w:t>Fikri ve Sınai Haklar konusundaki Yıllık Bütçeleri belirler ve FSHK Başkanı tarafından, Mütevelli Heyetine sunulur.</w:t>
      </w:r>
    </w:p>
    <w:p w:rsidR="003A549E" w:rsidRPr="003A549E" w:rsidRDefault="003A549E" w:rsidP="003B7EAD">
      <w:pPr>
        <w:widowControl w:val="0"/>
        <w:numPr>
          <w:ilvl w:val="0"/>
          <w:numId w:val="3"/>
        </w:numPr>
        <w:shd w:val="clear" w:color="auto" w:fill="FFFFFF"/>
        <w:tabs>
          <w:tab w:val="left" w:pos="1454"/>
        </w:tabs>
        <w:autoSpaceDE w:val="0"/>
        <w:autoSpaceDN w:val="0"/>
        <w:adjustRightInd w:val="0"/>
        <w:spacing w:after="0" w:line="240" w:lineRule="auto"/>
        <w:ind w:hanging="294"/>
        <w:jc w:val="both"/>
        <w:rPr>
          <w:rFonts w:ascii="Times New Roman" w:hAnsi="Times New Roman" w:cs="Times New Roman"/>
          <w:sz w:val="24"/>
          <w:szCs w:val="24"/>
        </w:rPr>
      </w:pPr>
      <w:r w:rsidRPr="003A549E">
        <w:rPr>
          <w:rFonts w:ascii="Times New Roman" w:hAnsi="Times New Roman" w:cs="Times New Roman"/>
          <w:spacing w:val="2"/>
          <w:sz w:val="24"/>
          <w:szCs w:val="24"/>
        </w:rPr>
        <w:t>Üniversite</w:t>
      </w:r>
      <w:r w:rsidRPr="003A549E">
        <w:rPr>
          <w:rFonts w:ascii="Times New Roman" w:hAnsi="Times New Roman" w:cs="Times New Roman"/>
          <w:spacing w:val="-1"/>
          <w:sz w:val="24"/>
          <w:szCs w:val="24"/>
        </w:rPr>
        <w:t xml:space="preserve"> lehine korunan fikir ürünlerinin üçüncü kişiler tarafından izinsiz kullanımı ile oluşan haklara tecavüz durumlarında </w:t>
      </w:r>
      <w:r w:rsidRPr="003A549E">
        <w:rPr>
          <w:rFonts w:ascii="Times New Roman" w:hAnsi="Times New Roman" w:cs="Times New Roman"/>
          <w:spacing w:val="1"/>
          <w:sz w:val="24"/>
          <w:szCs w:val="24"/>
        </w:rPr>
        <w:t>yapılacak işlemlere karar verir.</w:t>
      </w:r>
    </w:p>
    <w:p w:rsidR="003A549E" w:rsidRPr="003A549E" w:rsidRDefault="003A549E" w:rsidP="003B7EAD">
      <w:pPr>
        <w:widowControl w:val="0"/>
        <w:numPr>
          <w:ilvl w:val="0"/>
          <w:numId w:val="3"/>
        </w:numPr>
        <w:shd w:val="clear" w:color="auto" w:fill="FFFFFF"/>
        <w:tabs>
          <w:tab w:val="left" w:pos="1454"/>
        </w:tabs>
        <w:autoSpaceDE w:val="0"/>
        <w:autoSpaceDN w:val="0"/>
        <w:adjustRightInd w:val="0"/>
        <w:spacing w:after="0" w:line="240" w:lineRule="auto"/>
        <w:ind w:hanging="294"/>
        <w:jc w:val="both"/>
        <w:rPr>
          <w:rFonts w:ascii="Times New Roman" w:hAnsi="Times New Roman" w:cs="Times New Roman"/>
          <w:sz w:val="24"/>
          <w:szCs w:val="24"/>
        </w:rPr>
      </w:pPr>
      <w:r w:rsidRPr="003A549E">
        <w:rPr>
          <w:rFonts w:ascii="Times New Roman" w:hAnsi="Times New Roman" w:cs="Times New Roman"/>
          <w:spacing w:val="2"/>
          <w:sz w:val="24"/>
          <w:szCs w:val="24"/>
        </w:rPr>
        <w:t>Fikir ürünlerinin korunması için ulusal veya uluslararası başvuruların hangi ülkelerde yapılacağına karar verir,</w:t>
      </w:r>
      <w:r w:rsidRPr="003A549E">
        <w:rPr>
          <w:rFonts w:ascii="Times New Roman" w:hAnsi="Times New Roman" w:cs="Times New Roman"/>
          <w:spacing w:val="-3"/>
          <w:sz w:val="24"/>
          <w:szCs w:val="24"/>
        </w:rPr>
        <w:t xml:space="preserve"> </w:t>
      </w:r>
    </w:p>
    <w:p w:rsidR="003A549E" w:rsidRPr="003A549E" w:rsidRDefault="003A549E" w:rsidP="003B7EAD">
      <w:pPr>
        <w:widowControl w:val="0"/>
        <w:numPr>
          <w:ilvl w:val="0"/>
          <w:numId w:val="3"/>
        </w:numPr>
        <w:shd w:val="clear" w:color="auto" w:fill="FFFFFF"/>
        <w:tabs>
          <w:tab w:val="left" w:pos="1454"/>
        </w:tabs>
        <w:autoSpaceDE w:val="0"/>
        <w:autoSpaceDN w:val="0"/>
        <w:adjustRightInd w:val="0"/>
        <w:spacing w:after="0" w:line="240" w:lineRule="auto"/>
        <w:ind w:hanging="294"/>
        <w:jc w:val="both"/>
        <w:rPr>
          <w:rFonts w:ascii="Times New Roman" w:hAnsi="Times New Roman" w:cs="Times New Roman"/>
          <w:sz w:val="24"/>
          <w:szCs w:val="24"/>
        </w:rPr>
      </w:pPr>
      <w:r w:rsidRPr="003A549E">
        <w:rPr>
          <w:rFonts w:ascii="Times New Roman" w:hAnsi="Times New Roman" w:cs="Times New Roman"/>
          <w:spacing w:val="-3"/>
          <w:sz w:val="24"/>
          <w:szCs w:val="24"/>
        </w:rPr>
        <w:t xml:space="preserve">Konunun özelliğine ve belirlenmiş kurum politikalarına uygunluğuna göre bazı fikir ürünlerinin ticaret sırrı olarak saklanmasına ve açıklanmamasına karar verir. </w:t>
      </w:r>
    </w:p>
    <w:p w:rsidR="003A549E" w:rsidRPr="003A549E" w:rsidRDefault="003A549E" w:rsidP="003B7EAD">
      <w:pPr>
        <w:widowControl w:val="0"/>
        <w:numPr>
          <w:ilvl w:val="0"/>
          <w:numId w:val="3"/>
        </w:numPr>
        <w:shd w:val="clear" w:color="auto" w:fill="FFFFFF"/>
        <w:tabs>
          <w:tab w:val="left" w:pos="1454"/>
        </w:tabs>
        <w:autoSpaceDE w:val="0"/>
        <w:autoSpaceDN w:val="0"/>
        <w:adjustRightInd w:val="0"/>
        <w:spacing w:after="0" w:line="240" w:lineRule="auto"/>
        <w:ind w:hanging="294"/>
        <w:jc w:val="both"/>
        <w:rPr>
          <w:rFonts w:ascii="Times New Roman" w:hAnsi="Times New Roman" w:cs="Times New Roman"/>
          <w:sz w:val="24"/>
          <w:szCs w:val="24"/>
        </w:rPr>
      </w:pPr>
      <w:r w:rsidRPr="003A549E">
        <w:rPr>
          <w:rFonts w:ascii="Times New Roman" w:hAnsi="Times New Roman" w:cs="Times New Roman"/>
          <w:spacing w:val="1"/>
          <w:sz w:val="24"/>
          <w:szCs w:val="24"/>
        </w:rPr>
        <w:t xml:space="preserve">Fikir ürünlerine ilişkin hak sahipliğinden doğan haklarla ilgili bedellerin, bu Yönergeye uygun olarak belirlenmesi ve ödenmesi </w:t>
      </w:r>
      <w:r w:rsidRPr="003A549E">
        <w:rPr>
          <w:rFonts w:ascii="Times New Roman" w:hAnsi="Times New Roman" w:cs="Times New Roman"/>
          <w:spacing w:val="2"/>
          <w:sz w:val="24"/>
          <w:szCs w:val="24"/>
        </w:rPr>
        <w:t>için FSHK Başkanı aracılığıyla Mütevelli Heyetinin onayına sunar.</w:t>
      </w:r>
    </w:p>
    <w:p w:rsidR="003A549E" w:rsidRPr="003A549E" w:rsidRDefault="003A549E" w:rsidP="003B7EAD">
      <w:pPr>
        <w:widowControl w:val="0"/>
        <w:numPr>
          <w:ilvl w:val="0"/>
          <w:numId w:val="3"/>
        </w:numPr>
        <w:shd w:val="clear" w:color="auto" w:fill="FFFFFF"/>
        <w:tabs>
          <w:tab w:val="left" w:pos="1454"/>
        </w:tabs>
        <w:autoSpaceDE w:val="0"/>
        <w:autoSpaceDN w:val="0"/>
        <w:adjustRightInd w:val="0"/>
        <w:spacing w:after="0" w:line="240" w:lineRule="auto"/>
        <w:ind w:hanging="294"/>
        <w:jc w:val="both"/>
        <w:rPr>
          <w:rFonts w:ascii="Times New Roman" w:hAnsi="Times New Roman" w:cs="Times New Roman"/>
          <w:sz w:val="24"/>
          <w:szCs w:val="24"/>
        </w:rPr>
      </w:pPr>
      <w:r w:rsidRPr="003A549E">
        <w:rPr>
          <w:rFonts w:ascii="Times New Roman" w:hAnsi="Times New Roman" w:cs="Times New Roman"/>
          <w:spacing w:val="2"/>
          <w:sz w:val="24"/>
          <w:szCs w:val="24"/>
        </w:rPr>
        <w:t>Fikir ürünlerinin korunması amacıyla gerekli diğer kararları alır.</w:t>
      </w:r>
    </w:p>
    <w:p w:rsidR="003A549E" w:rsidRPr="003A549E" w:rsidRDefault="003A549E" w:rsidP="003B7EAD">
      <w:pPr>
        <w:widowControl w:val="0"/>
        <w:numPr>
          <w:ilvl w:val="0"/>
          <w:numId w:val="3"/>
        </w:numPr>
        <w:shd w:val="clear" w:color="auto" w:fill="FFFFFF"/>
        <w:tabs>
          <w:tab w:val="left" w:pos="1454"/>
        </w:tabs>
        <w:autoSpaceDE w:val="0"/>
        <w:autoSpaceDN w:val="0"/>
        <w:adjustRightInd w:val="0"/>
        <w:spacing w:after="0" w:line="240" w:lineRule="auto"/>
        <w:ind w:hanging="294"/>
        <w:jc w:val="both"/>
        <w:rPr>
          <w:rFonts w:ascii="Times New Roman" w:hAnsi="Times New Roman" w:cs="Times New Roman"/>
          <w:sz w:val="24"/>
          <w:szCs w:val="24"/>
        </w:rPr>
      </w:pPr>
      <w:r w:rsidRPr="003A549E">
        <w:rPr>
          <w:rFonts w:ascii="Times New Roman" w:hAnsi="Times New Roman" w:cs="Times New Roman"/>
          <w:spacing w:val="2"/>
          <w:sz w:val="24"/>
          <w:szCs w:val="24"/>
        </w:rPr>
        <w:t>Lisans, devir gibi ticarileşme konuları ile ilgili kararları alır.</w:t>
      </w:r>
    </w:p>
    <w:p w:rsidR="003A549E" w:rsidRPr="003A549E" w:rsidRDefault="003A549E" w:rsidP="003B7EAD">
      <w:pPr>
        <w:widowControl w:val="0"/>
        <w:numPr>
          <w:ilvl w:val="0"/>
          <w:numId w:val="3"/>
        </w:numPr>
        <w:shd w:val="clear" w:color="auto" w:fill="FFFFFF"/>
        <w:tabs>
          <w:tab w:val="left" w:pos="1454"/>
        </w:tabs>
        <w:autoSpaceDE w:val="0"/>
        <w:autoSpaceDN w:val="0"/>
        <w:adjustRightInd w:val="0"/>
        <w:spacing w:after="0" w:line="240" w:lineRule="auto"/>
        <w:ind w:hanging="294"/>
        <w:jc w:val="both"/>
        <w:rPr>
          <w:rFonts w:ascii="Times New Roman" w:hAnsi="Times New Roman" w:cs="Times New Roman"/>
          <w:sz w:val="24"/>
          <w:szCs w:val="24"/>
        </w:rPr>
      </w:pPr>
      <w:r w:rsidRPr="003A549E">
        <w:rPr>
          <w:rFonts w:ascii="Times New Roman" w:hAnsi="Times New Roman" w:cs="Times New Roman"/>
          <w:spacing w:val="2"/>
          <w:sz w:val="24"/>
          <w:szCs w:val="24"/>
        </w:rPr>
        <w:t>Buluş Sahibi</w:t>
      </w:r>
      <w:r w:rsidRPr="003A549E">
        <w:rPr>
          <w:rFonts w:ascii="Times New Roman" w:hAnsi="Times New Roman" w:cs="Times New Roman"/>
          <w:sz w:val="24"/>
          <w:szCs w:val="24"/>
        </w:rPr>
        <w:t xml:space="preserve"> veya diğer kişi ve kuruluşlarla yapılacak buluşlara ilişkin sözleşmelere karar verir ve bunları FSHK Başkanı aracılığıyla Mütevelli Heyetin onayına sunar. Mütevelli Heyetince verilmiş kararları uygular.</w:t>
      </w:r>
    </w:p>
    <w:p w:rsidR="003A549E" w:rsidRDefault="003A549E" w:rsidP="003B7EAD">
      <w:pPr>
        <w:widowControl w:val="0"/>
        <w:numPr>
          <w:ilvl w:val="0"/>
          <w:numId w:val="3"/>
        </w:numPr>
        <w:shd w:val="clear" w:color="auto" w:fill="FFFFFF"/>
        <w:tabs>
          <w:tab w:val="left" w:pos="1454"/>
        </w:tabs>
        <w:autoSpaceDE w:val="0"/>
        <w:autoSpaceDN w:val="0"/>
        <w:adjustRightInd w:val="0"/>
        <w:spacing w:after="0" w:line="240" w:lineRule="auto"/>
        <w:ind w:hanging="294"/>
        <w:jc w:val="both"/>
        <w:rPr>
          <w:rFonts w:ascii="Times New Roman" w:hAnsi="Times New Roman" w:cs="Times New Roman"/>
          <w:sz w:val="24"/>
          <w:szCs w:val="24"/>
        </w:rPr>
      </w:pPr>
      <w:r w:rsidRPr="003A549E">
        <w:rPr>
          <w:rFonts w:ascii="Times New Roman" w:hAnsi="Times New Roman" w:cs="Times New Roman"/>
          <w:sz w:val="24"/>
          <w:szCs w:val="24"/>
        </w:rPr>
        <w:t>Üniversite öğretim elemanları veya diğer çalışanların fikri ve sınai haklar kapsamında bilinçlenmelerini sağlayacak eğitim ve etkinliklere karar verir.</w:t>
      </w:r>
    </w:p>
    <w:p w:rsidR="003B7EAD" w:rsidRDefault="003B7EAD" w:rsidP="003B7EAD">
      <w:pPr>
        <w:widowControl w:val="0"/>
        <w:shd w:val="clear" w:color="auto" w:fill="FFFFFF"/>
        <w:tabs>
          <w:tab w:val="left" w:pos="1454"/>
        </w:tabs>
        <w:autoSpaceDE w:val="0"/>
        <w:autoSpaceDN w:val="0"/>
        <w:adjustRightInd w:val="0"/>
        <w:spacing w:after="0" w:line="240" w:lineRule="auto"/>
        <w:ind w:left="720"/>
        <w:jc w:val="both"/>
        <w:rPr>
          <w:rFonts w:ascii="Times New Roman" w:hAnsi="Times New Roman" w:cs="Times New Roman"/>
          <w:sz w:val="24"/>
          <w:szCs w:val="24"/>
        </w:rPr>
      </w:pPr>
    </w:p>
    <w:p w:rsidR="003B7EAD" w:rsidRDefault="003B7EAD" w:rsidP="003B7EAD">
      <w:pPr>
        <w:widowControl w:val="0"/>
        <w:shd w:val="clear" w:color="auto" w:fill="FFFFFF"/>
        <w:tabs>
          <w:tab w:val="left" w:pos="1454"/>
        </w:tabs>
        <w:autoSpaceDE w:val="0"/>
        <w:autoSpaceDN w:val="0"/>
        <w:adjustRightInd w:val="0"/>
        <w:spacing w:after="0" w:line="240" w:lineRule="auto"/>
        <w:ind w:left="720"/>
        <w:jc w:val="both"/>
        <w:rPr>
          <w:rFonts w:ascii="Times New Roman" w:hAnsi="Times New Roman" w:cs="Times New Roman"/>
          <w:sz w:val="24"/>
          <w:szCs w:val="24"/>
        </w:rPr>
      </w:pPr>
    </w:p>
    <w:p w:rsidR="003B7EAD" w:rsidRDefault="003B7EAD" w:rsidP="003B7EAD">
      <w:pPr>
        <w:widowControl w:val="0"/>
        <w:shd w:val="clear" w:color="auto" w:fill="FFFFFF"/>
        <w:tabs>
          <w:tab w:val="left" w:pos="1454"/>
        </w:tabs>
        <w:autoSpaceDE w:val="0"/>
        <w:autoSpaceDN w:val="0"/>
        <w:adjustRightInd w:val="0"/>
        <w:spacing w:after="0" w:line="240" w:lineRule="auto"/>
        <w:ind w:left="720"/>
        <w:jc w:val="both"/>
        <w:rPr>
          <w:rFonts w:ascii="Times New Roman" w:hAnsi="Times New Roman" w:cs="Times New Roman"/>
          <w:sz w:val="24"/>
          <w:szCs w:val="24"/>
        </w:rPr>
      </w:pPr>
    </w:p>
    <w:p w:rsidR="003B7EAD" w:rsidRDefault="003B7EAD" w:rsidP="003B7EAD">
      <w:pPr>
        <w:widowControl w:val="0"/>
        <w:shd w:val="clear" w:color="auto" w:fill="FFFFFF"/>
        <w:tabs>
          <w:tab w:val="left" w:pos="1454"/>
        </w:tabs>
        <w:autoSpaceDE w:val="0"/>
        <w:autoSpaceDN w:val="0"/>
        <w:adjustRightInd w:val="0"/>
        <w:spacing w:after="0" w:line="240" w:lineRule="auto"/>
        <w:ind w:left="720"/>
        <w:jc w:val="both"/>
        <w:rPr>
          <w:rFonts w:ascii="Times New Roman" w:hAnsi="Times New Roman" w:cs="Times New Roman"/>
          <w:sz w:val="24"/>
          <w:szCs w:val="24"/>
        </w:rPr>
      </w:pPr>
    </w:p>
    <w:p w:rsidR="003B7EAD" w:rsidRDefault="003B7EAD" w:rsidP="003B7EAD">
      <w:pPr>
        <w:widowControl w:val="0"/>
        <w:shd w:val="clear" w:color="auto" w:fill="FFFFFF"/>
        <w:tabs>
          <w:tab w:val="left" w:pos="1454"/>
        </w:tabs>
        <w:autoSpaceDE w:val="0"/>
        <w:autoSpaceDN w:val="0"/>
        <w:adjustRightInd w:val="0"/>
        <w:spacing w:after="0" w:line="240" w:lineRule="auto"/>
        <w:ind w:left="720"/>
        <w:jc w:val="both"/>
        <w:rPr>
          <w:rFonts w:ascii="Times New Roman" w:hAnsi="Times New Roman" w:cs="Times New Roman"/>
          <w:sz w:val="24"/>
          <w:szCs w:val="24"/>
        </w:rPr>
      </w:pPr>
    </w:p>
    <w:p w:rsidR="003B7EAD" w:rsidRDefault="003B7EAD" w:rsidP="003B7EAD">
      <w:pPr>
        <w:widowControl w:val="0"/>
        <w:shd w:val="clear" w:color="auto" w:fill="FFFFFF"/>
        <w:tabs>
          <w:tab w:val="left" w:pos="1454"/>
        </w:tabs>
        <w:autoSpaceDE w:val="0"/>
        <w:autoSpaceDN w:val="0"/>
        <w:adjustRightInd w:val="0"/>
        <w:spacing w:after="0" w:line="240" w:lineRule="auto"/>
        <w:ind w:left="720"/>
        <w:jc w:val="both"/>
        <w:rPr>
          <w:rFonts w:ascii="Times New Roman" w:hAnsi="Times New Roman" w:cs="Times New Roman"/>
          <w:sz w:val="24"/>
          <w:szCs w:val="24"/>
        </w:rPr>
      </w:pPr>
    </w:p>
    <w:p w:rsidR="003B7EAD" w:rsidRDefault="003B7EAD" w:rsidP="003B7EAD">
      <w:pPr>
        <w:widowControl w:val="0"/>
        <w:shd w:val="clear" w:color="auto" w:fill="FFFFFF"/>
        <w:tabs>
          <w:tab w:val="left" w:pos="1454"/>
        </w:tabs>
        <w:autoSpaceDE w:val="0"/>
        <w:autoSpaceDN w:val="0"/>
        <w:adjustRightInd w:val="0"/>
        <w:spacing w:after="0" w:line="240" w:lineRule="auto"/>
        <w:ind w:left="720"/>
        <w:jc w:val="both"/>
        <w:rPr>
          <w:rFonts w:ascii="Times New Roman" w:hAnsi="Times New Roman" w:cs="Times New Roman"/>
          <w:sz w:val="24"/>
          <w:szCs w:val="24"/>
        </w:rPr>
      </w:pPr>
    </w:p>
    <w:p w:rsidR="003B7EAD" w:rsidRPr="003A549E" w:rsidRDefault="003B7EAD" w:rsidP="003B7EAD">
      <w:pPr>
        <w:widowControl w:val="0"/>
        <w:shd w:val="clear" w:color="auto" w:fill="FFFFFF"/>
        <w:tabs>
          <w:tab w:val="left" w:pos="1454"/>
        </w:tabs>
        <w:autoSpaceDE w:val="0"/>
        <w:autoSpaceDN w:val="0"/>
        <w:adjustRightInd w:val="0"/>
        <w:spacing w:after="0" w:line="240" w:lineRule="auto"/>
        <w:ind w:left="720"/>
        <w:jc w:val="both"/>
        <w:rPr>
          <w:rFonts w:ascii="Times New Roman" w:hAnsi="Times New Roman" w:cs="Times New Roman"/>
          <w:sz w:val="24"/>
          <w:szCs w:val="24"/>
        </w:rPr>
      </w:pPr>
    </w:p>
    <w:p w:rsidR="003A549E" w:rsidRDefault="003A549E" w:rsidP="003B7EAD">
      <w:pPr>
        <w:pStyle w:val="Balk1"/>
        <w:numPr>
          <w:ilvl w:val="0"/>
          <w:numId w:val="0"/>
        </w:numPr>
        <w:spacing w:before="0" w:after="0"/>
        <w:jc w:val="center"/>
        <w:rPr>
          <w:rFonts w:ascii="Times New Roman" w:hAnsi="Times New Roman"/>
          <w:sz w:val="24"/>
          <w:szCs w:val="24"/>
          <w:lang w:val="tr-TR"/>
        </w:rPr>
      </w:pPr>
      <w:bookmarkStart w:id="24" w:name="_Toc379297835"/>
      <w:bookmarkStart w:id="25" w:name="_Toc514146654"/>
      <w:r w:rsidRPr="003A549E">
        <w:rPr>
          <w:rFonts w:ascii="Times New Roman" w:hAnsi="Times New Roman"/>
          <w:sz w:val="24"/>
          <w:szCs w:val="24"/>
          <w:lang w:val="tr-TR"/>
        </w:rPr>
        <w:lastRenderedPageBreak/>
        <w:t>ÜÇÜNCÜ BÖLÜM</w:t>
      </w:r>
      <w:bookmarkEnd w:id="24"/>
      <w:bookmarkEnd w:id="25"/>
    </w:p>
    <w:p w:rsidR="003B7EAD" w:rsidRPr="003B7EAD" w:rsidRDefault="003B7EAD" w:rsidP="003B7EAD">
      <w:pPr>
        <w:spacing w:after="0" w:line="240" w:lineRule="auto"/>
        <w:jc w:val="both"/>
        <w:rPr>
          <w:lang w:eastAsia="en-GB"/>
        </w:rPr>
      </w:pPr>
    </w:p>
    <w:p w:rsidR="003B7EAD" w:rsidRPr="003B7EAD" w:rsidRDefault="003B7EAD" w:rsidP="003B7EAD">
      <w:pPr>
        <w:spacing w:after="0" w:line="240" w:lineRule="auto"/>
        <w:jc w:val="both"/>
        <w:rPr>
          <w:sz w:val="24"/>
          <w:szCs w:val="24"/>
          <w:lang w:eastAsia="en-GB"/>
        </w:rPr>
      </w:pPr>
      <w:r w:rsidRPr="003B7EAD">
        <w:rPr>
          <w:rFonts w:ascii="Times New Roman" w:hAnsi="Times New Roman" w:cs="Times New Roman"/>
          <w:b/>
          <w:sz w:val="24"/>
          <w:szCs w:val="24"/>
        </w:rPr>
        <w:t>Temel Prensipler ve Uygulamalar</w:t>
      </w:r>
    </w:p>
    <w:p w:rsidR="003A549E" w:rsidRDefault="003A549E" w:rsidP="003B7EAD">
      <w:pPr>
        <w:pStyle w:val="Balk2"/>
        <w:spacing w:before="0"/>
        <w:jc w:val="both"/>
        <w:rPr>
          <w:rFonts w:ascii="Times New Roman" w:hAnsi="Times New Roman" w:cs="Times New Roman"/>
        </w:rPr>
      </w:pPr>
      <w:bookmarkStart w:id="26" w:name="_Toc379297836"/>
      <w:bookmarkStart w:id="27" w:name="_Toc514146655"/>
      <w:r w:rsidRPr="003A549E">
        <w:rPr>
          <w:rFonts w:ascii="Times New Roman" w:hAnsi="Times New Roman" w:cs="Times New Roman"/>
          <w:b/>
        </w:rPr>
        <w:t xml:space="preserve">Madde 8 - </w:t>
      </w:r>
      <w:bookmarkEnd w:id="26"/>
      <w:bookmarkEnd w:id="27"/>
      <w:r w:rsidRPr="003A549E">
        <w:rPr>
          <w:rFonts w:ascii="Times New Roman" w:hAnsi="Times New Roman" w:cs="Times New Roman"/>
        </w:rPr>
        <w:t>6769 sayılı Sınai Mülkiyet Kanunu’nun 121. Maddesi gereğince; 2547 sayılı Kanun’un 3.maddesinin birinci fıkrasının (c) bendinde tanımlanan yükseköğretim kurumlarında yapılan bilimsel çalışmalar veya araştırmalar sonucunda gerçekleştirilen buluşlar hizmet buluşlarıdır ve buluşu yapanın yükseköğretim kurumunda edindiği deneyim ve çalışmalara dayanarak veya yükseköğretim kurumunun araç ve gereçlerini kullanarak gerçekleştirdiği buluşlar bu kapsama girer. Bu buluşların dışında kalan buluşlar bu kısım kapsamında serbest buluş olarak kabul edilir. Yükseköğretim kurumu, buluş üzerinde hak sahipliği talebinde bulunması durumunda, patent başvurusu yapmakla yükümlüdür. Yükseköğretim kurumu, hak sahipliği talebine ilişkin kararını, buluş veya başvuru bildiriminin yükseköğretim kurumuna ulaştığı tarihten itibaren dört ay içinde buluşu yapana yazılı olarak bildirmek zorundadır. Buluşu yapan ile yükseköğretim kurumunun anlaşmaları halinde, karar tarihinden itibaren en geç altı ay içinde patent başvurusunda bulunmak zorundadır. Aksi takdirde buluş, serbest buluş niteliği kazanır.</w:t>
      </w:r>
    </w:p>
    <w:p w:rsidR="003B7EAD" w:rsidRPr="003B7EAD" w:rsidRDefault="003B7EAD" w:rsidP="003B7EAD">
      <w:pPr>
        <w:spacing w:after="0" w:line="240" w:lineRule="auto"/>
        <w:rPr>
          <w:lang w:eastAsia="tr-TR"/>
        </w:rPr>
      </w:pPr>
    </w:p>
    <w:p w:rsidR="003A549E" w:rsidRDefault="003A549E" w:rsidP="003B7EAD">
      <w:pPr>
        <w:spacing w:after="0" w:line="240" w:lineRule="auto"/>
        <w:jc w:val="both"/>
        <w:rPr>
          <w:rFonts w:ascii="Times New Roman" w:hAnsi="Times New Roman" w:cs="Times New Roman"/>
          <w:sz w:val="24"/>
          <w:szCs w:val="24"/>
          <w:lang w:eastAsia="tr-TR"/>
        </w:rPr>
      </w:pPr>
      <w:r w:rsidRPr="003A549E">
        <w:rPr>
          <w:rFonts w:ascii="Times New Roman" w:hAnsi="Times New Roman" w:cs="Times New Roman"/>
          <w:sz w:val="24"/>
          <w:szCs w:val="24"/>
          <w:lang w:eastAsia="tr-TR"/>
        </w:rPr>
        <w:t>Öğretim elemanları ile stajyerlerin ve öğrencilerin dışında kalan yükseköğretim kurumu çalışanları tarafından gerçekleştirilen buluşlar için çalışanların buluşlarına ilişkin hükümler uygulanır.</w:t>
      </w:r>
    </w:p>
    <w:p w:rsidR="003B7EAD" w:rsidRPr="003A549E" w:rsidRDefault="003B7EAD" w:rsidP="003B7EAD">
      <w:pPr>
        <w:spacing w:after="0" w:line="240" w:lineRule="auto"/>
        <w:jc w:val="both"/>
        <w:rPr>
          <w:rFonts w:ascii="Times New Roman" w:hAnsi="Times New Roman" w:cs="Times New Roman"/>
          <w:sz w:val="24"/>
          <w:szCs w:val="24"/>
          <w:lang w:eastAsia="tr-TR"/>
        </w:rPr>
      </w:pPr>
    </w:p>
    <w:p w:rsidR="003A549E" w:rsidRDefault="003A549E" w:rsidP="003B7EAD">
      <w:pPr>
        <w:spacing w:after="0" w:line="240" w:lineRule="auto"/>
        <w:jc w:val="both"/>
        <w:rPr>
          <w:rFonts w:ascii="Times New Roman" w:hAnsi="Times New Roman" w:cs="Times New Roman"/>
          <w:sz w:val="24"/>
          <w:szCs w:val="24"/>
          <w:lang w:eastAsia="tr-TR"/>
        </w:rPr>
      </w:pPr>
      <w:r w:rsidRPr="003A549E">
        <w:rPr>
          <w:rFonts w:ascii="Times New Roman" w:hAnsi="Times New Roman" w:cs="Times New Roman"/>
          <w:sz w:val="24"/>
          <w:szCs w:val="24"/>
          <w:lang w:eastAsia="tr-TR"/>
        </w:rPr>
        <w:t>2547 sayılı Kanun’un 3.maddesinin birinci fıkrasının (l) bendinde tanımlanan öğretim elemanları ile stajyerlerin ve öğrencilerin diğer kamu kurum ve kuruluşları veya özel kuruluşlarla belirli bir sözleşme kapsamında yapmış oldukları çalışmalar sonucunda ortaya çıkan buluşlar üzerindeki hak sahipliğinin belirlenmesinde, ilgili kanunlardaki hükümler saklı kalmak kaydıyla sözleşme hükümleri esas alınır.</w:t>
      </w:r>
    </w:p>
    <w:p w:rsidR="000D37ED" w:rsidRDefault="000D37ED" w:rsidP="003B7EAD">
      <w:pPr>
        <w:spacing w:after="0" w:line="240" w:lineRule="auto"/>
        <w:jc w:val="both"/>
        <w:rPr>
          <w:rFonts w:ascii="Times New Roman" w:hAnsi="Times New Roman" w:cs="Times New Roman"/>
          <w:sz w:val="24"/>
          <w:szCs w:val="24"/>
          <w:lang w:eastAsia="tr-TR"/>
        </w:rPr>
      </w:pPr>
    </w:p>
    <w:p w:rsidR="003A549E" w:rsidRPr="003A549E" w:rsidRDefault="003A549E" w:rsidP="003B7EAD">
      <w:pPr>
        <w:pStyle w:val="Balk2"/>
        <w:spacing w:before="0"/>
        <w:rPr>
          <w:rFonts w:ascii="Times New Roman" w:hAnsi="Times New Roman" w:cs="Times New Roman"/>
          <w:b/>
        </w:rPr>
      </w:pPr>
      <w:bookmarkStart w:id="28" w:name="_Toc379297841"/>
      <w:bookmarkStart w:id="29" w:name="_Toc514146660"/>
      <w:r w:rsidRPr="003A549E">
        <w:rPr>
          <w:rFonts w:ascii="Times New Roman" w:hAnsi="Times New Roman" w:cs="Times New Roman"/>
          <w:b/>
        </w:rPr>
        <w:t>8</w:t>
      </w:r>
      <w:r w:rsidRPr="003A549E">
        <w:rPr>
          <w:rStyle w:val="Balk2Char"/>
          <w:rFonts w:ascii="Times New Roman" w:hAnsi="Times New Roman" w:cs="Times New Roman"/>
          <w:b/>
        </w:rPr>
        <w:t>.1 Bildirim Yükümlülüğü:</w:t>
      </w:r>
      <w:bookmarkEnd w:id="28"/>
      <w:bookmarkEnd w:id="29"/>
      <w:r w:rsidRPr="003A549E">
        <w:rPr>
          <w:rFonts w:ascii="Times New Roman" w:hAnsi="Times New Roman" w:cs="Times New Roman"/>
          <w:b/>
        </w:rPr>
        <w:t xml:space="preserve"> </w:t>
      </w:r>
    </w:p>
    <w:p w:rsidR="003A549E" w:rsidRDefault="003A549E" w:rsidP="003B7EAD">
      <w:pPr>
        <w:shd w:val="clear" w:color="auto" w:fill="FFFFFF"/>
        <w:spacing w:after="0" w:line="240" w:lineRule="auto"/>
        <w:jc w:val="both"/>
        <w:rPr>
          <w:rFonts w:ascii="Times New Roman" w:hAnsi="Times New Roman" w:cs="Times New Roman"/>
          <w:spacing w:val="1"/>
          <w:sz w:val="24"/>
          <w:szCs w:val="24"/>
        </w:rPr>
      </w:pPr>
      <w:r w:rsidRPr="003A549E">
        <w:rPr>
          <w:rFonts w:ascii="Times New Roman" w:hAnsi="Times New Roman" w:cs="Times New Roman"/>
          <w:spacing w:val="2"/>
          <w:sz w:val="24"/>
          <w:szCs w:val="24"/>
        </w:rPr>
        <w:t xml:space="preserve">6769 Sayılı SMK gereğince Yükseköğretim kurumlarında yapılan bilimsel çalışmalar veya araştırmalar sonucunda bir buluş gerçekleştiğinde buluşu yapan, buluşunu yazılı olarak ve geciktirmeksizin yükseköğretim kurumuna bildirmekle yükümlüdür. Patent başvurusu yapılmışsa yükseköğretim kurumuna başvuru yapıldığına dair bildirim yapılır. Bu bildirim, </w:t>
      </w:r>
      <w:r w:rsidRPr="003A549E">
        <w:rPr>
          <w:rFonts w:ascii="Times New Roman" w:hAnsi="Times New Roman" w:cs="Times New Roman"/>
          <w:spacing w:val="3"/>
          <w:sz w:val="24"/>
          <w:szCs w:val="24"/>
        </w:rPr>
        <w:t xml:space="preserve">Buluş Bildirim Formu, Market Analiz Formu ve Gizlilik Sözleşmesi’nin doldurulması ve bu formların gerekli tüm eklerinin bir </w:t>
      </w:r>
      <w:r w:rsidRPr="003A549E">
        <w:rPr>
          <w:rFonts w:ascii="Times New Roman" w:hAnsi="Times New Roman" w:cs="Times New Roman"/>
          <w:spacing w:val="1"/>
          <w:sz w:val="24"/>
          <w:szCs w:val="24"/>
        </w:rPr>
        <w:t>dosya olarak hazırlanması ve ayrıca tüm bunların TTO’ya gönderilmesi ile yapılır.</w:t>
      </w:r>
      <w:r w:rsidRPr="003A549E">
        <w:rPr>
          <w:rFonts w:ascii="Times New Roman" w:hAnsi="Times New Roman" w:cs="Times New Roman"/>
          <w:spacing w:val="2"/>
          <w:sz w:val="24"/>
          <w:szCs w:val="24"/>
        </w:rPr>
        <w:t xml:space="preserve"> </w:t>
      </w:r>
      <w:r w:rsidRPr="003A549E">
        <w:rPr>
          <w:rFonts w:ascii="Times New Roman" w:hAnsi="Times New Roman" w:cs="Times New Roman"/>
          <w:spacing w:val="1"/>
          <w:sz w:val="24"/>
          <w:szCs w:val="24"/>
        </w:rPr>
        <w:t>Buluşun birden çok kişi tarafından gerçekleştirilmesi ha</w:t>
      </w:r>
      <w:r w:rsidR="00C46039">
        <w:rPr>
          <w:rFonts w:ascii="Times New Roman" w:hAnsi="Times New Roman" w:cs="Times New Roman"/>
          <w:spacing w:val="1"/>
          <w:sz w:val="24"/>
          <w:szCs w:val="24"/>
        </w:rPr>
        <w:t>linde, kişiler, bildirimi BBF’ye</w:t>
      </w:r>
      <w:r w:rsidRPr="003A549E">
        <w:rPr>
          <w:rFonts w:ascii="Times New Roman" w:hAnsi="Times New Roman" w:cs="Times New Roman"/>
          <w:spacing w:val="1"/>
          <w:sz w:val="24"/>
          <w:szCs w:val="24"/>
        </w:rPr>
        <w:t xml:space="preserve"> uygun olarak ve tek bir dosya halinde yaparlar. TTO, kendisine ulaşan bildirimin bildirim tarihini, bildirimde bulunan kişi veya kişilere yazılı olarak bildirir. </w:t>
      </w:r>
    </w:p>
    <w:p w:rsidR="000D37ED" w:rsidRPr="003A549E" w:rsidRDefault="000D37ED" w:rsidP="003B7EAD">
      <w:pPr>
        <w:shd w:val="clear" w:color="auto" w:fill="FFFFFF"/>
        <w:spacing w:after="0" w:line="240" w:lineRule="auto"/>
        <w:jc w:val="both"/>
        <w:rPr>
          <w:rFonts w:ascii="Times New Roman" w:hAnsi="Times New Roman" w:cs="Times New Roman"/>
          <w:spacing w:val="2"/>
          <w:sz w:val="24"/>
          <w:szCs w:val="24"/>
        </w:rPr>
      </w:pPr>
    </w:p>
    <w:p w:rsidR="003A549E" w:rsidRDefault="003A549E" w:rsidP="003B7EAD">
      <w:pPr>
        <w:shd w:val="clear" w:color="auto" w:fill="FFFFFF"/>
        <w:tabs>
          <w:tab w:val="left" w:pos="7459"/>
        </w:tabs>
        <w:spacing w:after="0" w:line="240" w:lineRule="auto"/>
        <w:ind w:right="96"/>
        <w:jc w:val="both"/>
        <w:rPr>
          <w:rFonts w:ascii="Times New Roman" w:hAnsi="Times New Roman" w:cs="Times New Roman"/>
          <w:spacing w:val="1"/>
          <w:sz w:val="24"/>
          <w:szCs w:val="24"/>
        </w:rPr>
      </w:pPr>
      <w:r w:rsidRPr="003A549E">
        <w:rPr>
          <w:rFonts w:ascii="Times New Roman" w:hAnsi="Times New Roman" w:cs="Times New Roman"/>
          <w:spacing w:val="1"/>
          <w:sz w:val="24"/>
          <w:szCs w:val="24"/>
        </w:rPr>
        <w:t xml:space="preserve">FSHK, toplantı gündemindeki FSH ile ilgili konuları görüşerek patent başvurusu yapılacak olan buluşlara karar verir. Bu kararlara göre TTO, patent başvurusu yapılacak olan buluşlar için Patent Vekili Firma ile patent başvurusu yapılması için gerekli çalışmaları başlatır. </w:t>
      </w:r>
    </w:p>
    <w:p w:rsidR="000D37ED" w:rsidRPr="003A549E" w:rsidRDefault="000D37ED" w:rsidP="003B7EAD">
      <w:pPr>
        <w:shd w:val="clear" w:color="auto" w:fill="FFFFFF"/>
        <w:tabs>
          <w:tab w:val="left" w:pos="7459"/>
        </w:tabs>
        <w:spacing w:after="0" w:line="240" w:lineRule="auto"/>
        <w:ind w:right="96"/>
        <w:jc w:val="both"/>
        <w:rPr>
          <w:rFonts w:ascii="Times New Roman" w:hAnsi="Times New Roman" w:cs="Times New Roman"/>
          <w:spacing w:val="1"/>
          <w:sz w:val="24"/>
          <w:szCs w:val="24"/>
        </w:rPr>
      </w:pPr>
    </w:p>
    <w:p w:rsidR="003A549E" w:rsidRDefault="003A549E" w:rsidP="003B7EAD">
      <w:pPr>
        <w:shd w:val="clear" w:color="auto" w:fill="FFFFFF"/>
        <w:spacing w:after="0" w:line="240" w:lineRule="auto"/>
        <w:ind w:right="110"/>
        <w:jc w:val="both"/>
        <w:rPr>
          <w:rFonts w:ascii="Times New Roman" w:hAnsi="Times New Roman" w:cs="Times New Roman"/>
          <w:spacing w:val="1"/>
          <w:sz w:val="24"/>
          <w:szCs w:val="24"/>
        </w:rPr>
      </w:pPr>
      <w:r w:rsidRPr="003A549E">
        <w:rPr>
          <w:rFonts w:ascii="Times New Roman" w:hAnsi="Times New Roman" w:cs="Times New Roman"/>
          <w:spacing w:val="1"/>
          <w:sz w:val="24"/>
          <w:szCs w:val="24"/>
        </w:rPr>
        <w:t>Sınai haklar kapsamındaki diğer ürünler (marka, faydalı model, ticari sır, endüstriyel tasarım) için de, her ürününün kendine özgü yapısına uygun olarak, aynı kurallar uygulanır.</w:t>
      </w:r>
    </w:p>
    <w:p w:rsidR="003B7EAD" w:rsidRDefault="003B7EAD" w:rsidP="003B7EAD">
      <w:pPr>
        <w:shd w:val="clear" w:color="auto" w:fill="FFFFFF"/>
        <w:spacing w:after="0" w:line="240" w:lineRule="auto"/>
        <w:ind w:right="110"/>
        <w:jc w:val="both"/>
        <w:rPr>
          <w:rFonts w:ascii="Times New Roman" w:hAnsi="Times New Roman" w:cs="Times New Roman"/>
          <w:spacing w:val="1"/>
          <w:sz w:val="24"/>
          <w:szCs w:val="24"/>
        </w:rPr>
      </w:pPr>
    </w:p>
    <w:p w:rsidR="003B7EAD" w:rsidRPr="003A549E" w:rsidRDefault="003B7EAD" w:rsidP="003B7EAD">
      <w:pPr>
        <w:shd w:val="clear" w:color="auto" w:fill="FFFFFF"/>
        <w:spacing w:after="0" w:line="240" w:lineRule="auto"/>
        <w:ind w:right="110"/>
        <w:jc w:val="both"/>
        <w:rPr>
          <w:rFonts w:ascii="Times New Roman" w:hAnsi="Times New Roman" w:cs="Times New Roman"/>
          <w:spacing w:val="1"/>
          <w:sz w:val="24"/>
          <w:szCs w:val="24"/>
        </w:rPr>
      </w:pPr>
      <w:r w:rsidRPr="003A549E">
        <w:rPr>
          <w:rStyle w:val="Balk2Char"/>
          <w:rFonts w:ascii="Times New Roman" w:hAnsi="Times New Roman" w:cs="Times New Roman"/>
          <w:b/>
        </w:rPr>
        <w:t>Üniversitenin Buluşa İlişkin Hakları:</w:t>
      </w:r>
    </w:p>
    <w:p w:rsidR="003A549E" w:rsidRDefault="003A549E" w:rsidP="003B7EAD">
      <w:pPr>
        <w:pStyle w:val="Balk2"/>
        <w:spacing w:before="0"/>
        <w:jc w:val="both"/>
        <w:rPr>
          <w:rFonts w:ascii="Times New Roman" w:hAnsi="Times New Roman" w:cs="Times New Roman"/>
          <w:spacing w:val="-2"/>
        </w:rPr>
      </w:pPr>
      <w:bookmarkStart w:id="30" w:name="_Toc379297842"/>
      <w:bookmarkStart w:id="31" w:name="_Toc514146661"/>
      <w:r w:rsidRPr="003A549E">
        <w:rPr>
          <w:rStyle w:val="Balk2Char"/>
          <w:rFonts w:ascii="Times New Roman" w:hAnsi="Times New Roman" w:cs="Times New Roman"/>
          <w:b/>
        </w:rPr>
        <w:t>Madde 9 –</w:t>
      </w:r>
      <w:bookmarkEnd w:id="30"/>
      <w:bookmarkEnd w:id="31"/>
      <w:r w:rsidRPr="003A549E">
        <w:rPr>
          <w:rStyle w:val="Balk2Char"/>
          <w:rFonts w:ascii="Times New Roman" w:hAnsi="Times New Roman" w:cs="Times New Roman"/>
          <w:b/>
        </w:rPr>
        <w:t xml:space="preserve"> </w:t>
      </w:r>
      <w:r w:rsidRPr="003A549E">
        <w:rPr>
          <w:rFonts w:ascii="Times New Roman" w:hAnsi="Times New Roman" w:cs="Times New Roman"/>
        </w:rPr>
        <w:t>Üniversitedeki Buluş Sahibi veya Sahipleri</w:t>
      </w:r>
      <w:r w:rsidRPr="003A549E">
        <w:rPr>
          <w:rFonts w:ascii="Times New Roman" w:hAnsi="Times New Roman" w:cs="Times New Roman"/>
          <w:spacing w:val="-2"/>
        </w:rPr>
        <w:t xml:space="preserve"> tarafından yapılan buluşlar üzerindeki maddi haklar, Üniversiteye aittir. Patent veya Faydalı Model başvurularının Üniversite adına yapılması, belgelerinin Üniversite adına alınması veya Üniversite lehine ticari sır olarak saklanması Üniversitenin yasal hakları olarak kabul edilir. </w:t>
      </w:r>
    </w:p>
    <w:p w:rsidR="003B7EAD" w:rsidRPr="003B7EAD" w:rsidRDefault="003B7EAD" w:rsidP="003B7EAD">
      <w:pPr>
        <w:spacing w:after="0" w:line="240" w:lineRule="auto"/>
        <w:rPr>
          <w:lang w:eastAsia="tr-TR"/>
        </w:rPr>
      </w:pPr>
    </w:p>
    <w:p w:rsidR="003A549E" w:rsidRDefault="003A549E" w:rsidP="003B7EAD">
      <w:pPr>
        <w:shd w:val="clear" w:color="auto" w:fill="FFFFFF"/>
        <w:tabs>
          <w:tab w:val="left" w:pos="7229"/>
        </w:tabs>
        <w:spacing w:after="0" w:line="240" w:lineRule="auto"/>
        <w:ind w:right="163"/>
        <w:jc w:val="both"/>
        <w:rPr>
          <w:rFonts w:ascii="Times New Roman" w:hAnsi="Times New Roman" w:cs="Times New Roman"/>
          <w:spacing w:val="-2"/>
          <w:sz w:val="24"/>
          <w:szCs w:val="24"/>
        </w:rPr>
      </w:pPr>
      <w:r w:rsidRPr="003A549E">
        <w:rPr>
          <w:rFonts w:ascii="Times New Roman" w:hAnsi="Times New Roman" w:cs="Times New Roman"/>
          <w:spacing w:val="-2"/>
          <w:sz w:val="24"/>
          <w:szCs w:val="24"/>
        </w:rPr>
        <w:t xml:space="preserve">FSHK, bildirilen buluşun başvurusunun Üniversite adına yapılıp yapılmayacağına ilişkin önerisini Mütevelli Heyetine sunar, buluş başvurusunun yapılıp yapılmayacağına ilişkin kararı Mütevelli Heyeti verir. Üniversite buluşun değerlendirme ve ön araştırması neticesinde patentlenebilirlik </w:t>
      </w:r>
      <w:r w:rsidRPr="003A549E">
        <w:rPr>
          <w:rFonts w:ascii="Times New Roman" w:hAnsi="Times New Roman" w:cs="Times New Roman"/>
          <w:spacing w:val="-2"/>
          <w:sz w:val="24"/>
          <w:szCs w:val="24"/>
        </w:rPr>
        <w:lastRenderedPageBreak/>
        <w:t xml:space="preserve">kriterlerini taşımaması durumunda, başvuru yapmama ve buluşun serbest buluş olarak Buluş Sahibinin tasarrufuna bırakma hakkına sahiptir. </w:t>
      </w:r>
    </w:p>
    <w:p w:rsidR="003B7EAD" w:rsidRPr="003A549E" w:rsidRDefault="003B7EAD" w:rsidP="003B7EAD">
      <w:pPr>
        <w:shd w:val="clear" w:color="auto" w:fill="FFFFFF"/>
        <w:tabs>
          <w:tab w:val="left" w:pos="7229"/>
        </w:tabs>
        <w:spacing w:after="0" w:line="240" w:lineRule="auto"/>
        <w:ind w:right="163"/>
        <w:jc w:val="both"/>
        <w:rPr>
          <w:rFonts w:ascii="Times New Roman" w:hAnsi="Times New Roman" w:cs="Times New Roman"/>
          <w:spacing w:val="-2"/>
          <w:sz w:val="24"/>
          <w:szCs w:val="24"/>
        </w:rPr>
      </w:pPr>
    </w:p>
    <w:p w:rsidR="003A549E" w:rsidRDefault="003A549E" w:rsidP="003B7EAD">
      <w:pPr>
        <w:shd w:val="clear" w:color="auto" w:fill="FFFFFF"/>
        <w:tabs>
          <w:tab w:val="left" w:pos="7229"/>
        </w:tabs>
        <w:spacing w:after="0" w:line="240" w:lineRule="auto"/>
        <w:ind w:right="163"/>
        <w:jc w:val="both"/>
        <w:rPr>
          <w:rFonts w:ascii="Times New Roman" w:hAnsi="Times New Roman" w:cs="Times New Roman"/>
          <w:spacing w:val="-2"/>
          <w:sz w:val="24"/>
          <w:szCs w:val="24"/>
        </w:rPr>
      </w:pPr>
      <w:r w:rsidRPr="003A549E">
        <w:rPr>
          <w:rFonts w:ascii="Times New Roman" w:hAnsi="Times New Roman" w:cs="Times New Roman"/>
          <w:spacing w:val="-2"/>
          <w:sz w:val="24"/>
          <w:szCs w:val="24"/>
        </w:rPr>
        <w:t>Hak sahipliği konusundaki itirazlar Mütevelli Heyetince değerlendirilerek karara bağlanır.</w:t>
      </w:r>
    </w:p>
    <w:p w:rsidR="000D37ED" w:rsidRPr="003A549E" w:rsidRDefault="000D37ED" w:rsidP="003B7EAD">
      <w:pPr>
        <w:shd w:val="clear" w:color="auto" w:fill="FFFFFF"/>
        <w:tabs>
          <w:tab w:val="left" w:pos="7229"/>
        </w:tabs>
        <w:spacing w:after="0" w:line="240" w:lineRule="auto"/>
        <w:ind w:right="163"/>
        <w:jc w:val="both"/>
        <w:rPr>
          <w:rFonts w:ascii="Times New Roman" w:hAnsi="Times New Roman" w:cs="Times New Roman"/>
          <w:spacing w:val="-2"/>
          <w:sz w:val="24"/>
          <w:szCs w:val="24"/>
        </w:rPr>
      </w:pPr>
    </w:p>
    <w:p w:rsidR="003B7EAD" w:rsidRDefault="003B7EAD" w:rsidP="003B7EAD">
      <w:pPr>
        <w:pStyle w:val="Balk2"/>
        <w:spacing w:before="0"/>
        <w:rPr>
          <w:rStyle w:val="Balk2Char"/>
          <w:rFonts w:ascii="Times New Roman" w:hAnsi="Times New Roman" w:cs="Times New Roman"/>
          <w:b/>
        </w:rPr>
      </w:pPr>
      <w:bookmarkStart w:id="32" w:name="_Toc379297843"/>
      <w:bookmarkStart w:id="33" w:name="_Toc514146662"/>
      <w:r w:rsidRPr="003A549E">
        <w:rPr>
          <w:rStyle w:val="Balk2Char"/>
          <w:rFonts w:ascii="Times New Roman" w:hAnsi="Times New Roman" w:cs="Times New Roman"/>
          <w:b/>
        </w:rPr>
        <w:t>Fikri Hak Sözleşmeleri</w:t>
      </w:r>
    </w:p>
    <w:p w:rsidR="003A549E" w:rsidRDefault="003A549E" w:rsidP="003B7EAD">
      <w:pPr>
        <w:pStyle w:val="Balk2"/>
        <w:spacing w:before="0"/>
        <w:jc w:val="both"/>
        <w:rPr>
          <w:rFonts w:ascii="Times New Roman" w:hAnsi="Times New Roman" w:cs="Times New Roman"/>
          <w:spacing w:val="-2"/>
        </w:rPr>
      </w:pPr>
      <w:r w:rsidRPr="003A549E">
        <w:rPr>
          <w:rStyle w:val="Balk2Char"/>
          <w:rFonts w:ascii="Times New Roman" w:hAnsi="Times New Roman" w:cs="Times New Roman"/>
          <w:b/>
        </w:rPr>
        <w:t>Madde 10-</w:t>
      </w:r>
      <w:bookmarkEnd w:id="32"/>
      <w:bookmarkEnd w:id="33"/>
      <w:r w:rsidRPr="003A549E">
        <w:rPr>
          <w:rFonts w:ascii="Times New Roman" w:hAnsi="Times New Roman" w:cs="Times New Roman"/>
          <w:spacing w:val="-2"/>
        </w:rPr>
        <w:t>Üniversite patentlenebilirlik kriterlerini taşıyan başvurulara ilişkin, buluş sahibi ile  “Çankaya Üniversitesi Teknoloji</w:t>
      </w:r>
      <w:r w:rsidR="00115139">
        <w:rPr>
          <w:rFonts w:ascii="Times New Roman" w:hAnsi="Times New Roman" w:cs="Times New Roman"/>
          <w:spacing w:val="-2"/>
        </w:rPr>
        <w:t xml:space="preserve"> Transfer Ofisi ve Buluş Sahibi</w:t>
      </w:r>
      <w:r w:rsidRPr="003A549E">
        <w:rPr>
          <w:rFonts w:ascii="Times New Roman" w:hAnsi="Times New Roman" w:cs="Times New Roman"/>
          <w:spacing w:val="-2"/>
        </w:rPr>
        <w:t xml:space="preserve"> Arasında Patentleme ve Patenti Ticarileştirme Sözleşmesi”  imzalar. </w:t>
      </w:r>
    </w:p>
    <w:p w:rsidR="003B7EAD" w:rsidRPr="003B7EAD" w:rsidRDefault="003B7EAD" w:rsidP="003B7EAD">
      <w:pPr>
        <w:spacing w:after="0" w:line="240" w:lineRule="auto"/>
        <w:rPr>
          <w:lang w:eastAsia="tr-TR"/>
        </w:rPr>
      </w:pPr>
    </w:p>
    <w:p w:rsidR="003B7EAD" w:rsidRPr="003B7EAD" w:rsidRDefault="003B7EAD" w:rsidP="003B7EAD">
      <w:pPr>
        <w:spacing w:after="0" w:line="240" w:lineRule="auto"/>
        <w:rPr>
          <w:lang w:eastAsia="tr-TR"/>
        </w:rPr>
      </w:pPr>
      <w:r w:rsidRPr="003A549E">
        <w:rPr>
          <w:rStyle w:val="Balk2Char"/>
          <w:rFonts w:ascii="Times New Roman" w:hAnsi="Times New Roman" w:cs="Times New Roman"/>
          <w:b/>
        </w:rPr>
        <w:t xml:space="preserve">Harici Sponsorluk ve </w:t>
      </w:r>
      <w:r w:rsidRPr="003A549E">
        <w:rPr>
          <w:rFonts w:ascii="Times New Roman" w:hAnsi="Times New Roman" w:cs="Times New Roman"/>
          <w:b/>
        </w:rPr>
        <w:t>Kamu Destekli Projelerde Ortaya Çıkan Buluşlar</w:t>
      </w:r>
    </w:p>
    <w:p w:rsidR="003A549E" w:rsidRDefault="003A549E" w:rsidP="003B7EAD">
      <w:pPr>
        <w:pStyle w:val="Balk2"/>
        <w:spacing w:before="0"/>
        <w:jc w:val="both"/>
        <w:rPr>
          <w:rFonts w:ascii="Times New Roman" w:hAnsi="Times New Roman" w:cs="Times New Roman"/>
          <w:spacing w:val="-2"/>
        </w:rPr>
      </w:pPr>
      <w:bookmarkStart w:id="34" w:name="_Toc379297844"/>
      <w:bookmarkStart w:id="35" w:name="_Toc514146663"/>
      <w:r w:rsidRPr="003A549E">
        <w:rPr>
          <w:rStyle w:val="Balk2Char"/>
          <w:rFonts w:ascii="Times New Roman" w:hAnsi="Times New Roman" w:cs="Times New Roman"/>
          <w:b/>
        </w:rPr>
        <w:t xml:space="preserve">Madde 11 – </w:t>
      </w:r>
      <w:bookmarkEnd w:id="34"/>
      <w:bookmarkEnd w:id="35"/>
      <w:r w:rsidRPr="003A549E">
        <w:rPr>
          <w:rFonts w:ascii="Times New Roman" w:hAnsi="Times New Roman" w:cs="Times New Roman"/>
        </w:rPr>
        <w:t>6769 sayılı Sınai Mülkiyet Kanunu’nun</w:t>
      </w:r>
      <w:r w:rsidRPr="003A549E">
        <w:rPr>
          <w:rFonts w:ascii="Times New Roman" w:hAnsi="Times New Roman" w:cs="Times New Roman"/>
          <w:b/>
          <w:spacing w:val="-2"/>
        </w:rPr>
        <w:t xml:space="preserve"> </w:t>
      </w:r>
      <w:r w:rsidRPr="003A549E">
        <w:rPr>
          <w:rFonts w:ascii="Times New Roman" w:hAnsi="Times New Roman" w:cs="Times New Roman"/>
          <w:spacing w:val="-2"/>
        </w:rPr>
        <w:t>Madde 122</w:t>
      </w:r>
      <w:r w:rsidRPr="003A549E">
        <w:rPr>
          <w:rFonts w:ascii="Times New Roman" w:hAnsi="Times New Roman" w:cs="Times New Roman"/>
          <w:b/>
          <w:spacing w:val="-2"/>
        </w:rPr>
        <w:t>- </w:t>
      </w:r>
      <w:r w:rsidRPr="003A549E">
        <w:rPr>
          <w:rFonts w:ascii="Times New Roman" w:hAnsi="Times New Roman" w:cs="Times New Roman"/>
          <w:spacing w:val="-2"/>
        </w:rPr>
        <w:t>(1) gereğince; Kamu kurum ve kuruluşları tarafından desteklenen projelerde ortaya çıkan buluşların, destek sağlayan kamu kurumuna yönetmeliğe uygun olarak bildirilmesi zorunludur. 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Proje desteğinden faydalanan kişi, hak sahipliğine ilişkin süreç tamamlanana kadar, buluşa patent veya faydalı model verilmesini etkileyecek nitelikte açıklamalarda bulunamaz.</w:t>
      </w:r>
    </w:p>
    <w:p w:rsidR="003B7EAD" w:rsidRPr="003B7EAD" w:rsidRDefault="003B7EAD" w:rsidP="003B7EAD">
      <w:pPr>
        <w:spacing w:after="0" w:line="240" w:lineRule="auto"/>
        <w:rPr>
          <w:lang w:eastAsia="tr-TR"/>
        </w:rPr>
      </w:pPr>
    </w:p>
    <w:p w:rsidR="003B7EAD" w:rsidRPr="003A549E" w:rsidRDefault="003B7EAD" w:rsidP="003B7EAD">
      <w:pPr>
        <w:pStyle w:val="Balk2"/>
        <w:spacing w:before="0"/>
        <w:rPr>
          <w:rFonts w:ascii="Times New Roman" w:hAnsi="Times New Roman" w:cs="Times New Roman"/>
          <w:b/>
        </w:rPr>
      </w:pPr>
      <w:r w:rsidRPr="003A549E">
        <w:rPr>
          <w:rFonts w:ascii="Times New Roman" w:hAnsi="Times New Roman" w:cs="Times New Roman"/>
          <w:b/>
        </w:rPr>
        <w:t>Ticarileştirme</w:t>
      </w:r>
    </w:p>
    <w:p w:rsidR="003A549E" w:rsidRPr="003A549E" w:rsidRDefault="003A549E" w:rsidP="003B7EAD">
      <w:pPr>
        <w:pStyle w:val="Balk2"/>
        <w:spacing w:before="0"/>
        <w:rPr>
          <w:rFonts w:ascii="Times New Roman" w:hAnsi="Times New Roman" w:cs="Times New Roman"/>
          <w:b/>
        </w:rPr>
      </w:pPr>
      <w:bookmarkStart w:id="36" w:name="_Toc379297846"/>
      <w:bookmarkStart w:id="37" w:name="_Toc514146664"/>
      <w:r w:rsidRPr="003A549E">
        <w:rPr>
          <w:rFonts w:ascii="Times New Roman" w:hAnsi="Times New Roman" w:cs="Times New Roman"/>
          <w:b/>
        </w:rPr>
        <w:t xml:space="preserve">Madde 12 – </w:t>
      </w:r>
      <w:bookmarkEnd w:id="36"/>
      <w:bookmarkEnd w:id="37"/>
    </w:p>
    <w:p w:rsidR="003A549E" w:rsidRPr="003A549E" w:rsidRDefault="003A549E" w:rsidP="003B7EAD">
      <w:pPr>
        <w:pStyle w:val="Balk2"/>
        <w:spacing w:before="0"/>
        <w:rPr>
          <w:rFonts w:ascii="Times New Roman" w:hAnsi="Times New Roman" w:cs="Times New Roman"/>
          <w:b/>
        </w:rPr>
      </w:pPr>
      <w:bookmarkStart w:id="38" w:name="_Toc379297848"/>
      <w:bookmarkStart w:id="39" w:name="_Toc514146666"/>
      <w:r w:rsidRPr="003A549E">
        <w:rPr>
          <w:rStyle w:val="Balk2Char"/>
          <w:rFonts w:ascii="Times New Roman" w:hAnsi="Times New Roman" w:cs="Times New Roman"/>
          <w:b/>
        </w:rPr>
        <w:t>12.1. Lisans ve Devir:</w:t>
      </w:r>
      <w:bookmarkEnd w:id="38"/>
      <w:bookmarkEnd w:id="39"/>
      <w:r w:rsidRPr="003A549E">
        <w:rPr>
          <w:rFonts w:ascii="Times New Roman" w:hAnsi="Times New Roman" w:cs="Times New Roman"/>
          <w:b/>
        </w:rPr>
        <w:t xml:space="preserve"> </w:t>
      </w:r>
    </w:p>
    <w:p w:rsidR="003A549E" w:rsidRPr="003A549E" w:rsidRDefault="003A549E" w:rsidP="003B7EAD">
      <w:pPr>
        <w:spacing w:after="0" w:line="240" w:lineRule="auto"/>
        <w:jc w:val="both"/>
        <w:rPr>
          <w:rFonts w:ascii="Times New Roman" w:hAnsi="Times New Roman" w:cs="Times New Roman"/>
          <w:sz w:val="24"/>
          <w:szCs w:val="24"/>
        </w:rPr>
      </w:pPr>
      <w:r w:rsidRPr="003A549E">
        <w:rPr>
          <w:rFonts w:ascii="Times New Roman" w:hAnsi="Times New Roman" w:cs="Times New Roman"/>
          <w:sz w:val="24"/>
          <w:szCs w:val="24"/>
        </w:rPr>
        <w:t>Üniversite, kamu yararına ve kullanımına yönelik fikir ürünlerinin ticari gelişimini teşvik eder. Üniversite bir veya birden fazla işletmeye söz konusu fikir ürünlerinin daha fazla geliştirilmesi, kullanılması için lisans verebilir veya satışı için devir sözleşmesi yapabilir.</w:t>
      </w:r>
    </w:p>
    <w:p w:rsidR="003A549E" w:rsidRPr="003A549E" w:rsidRDefault="003A549E" w:rsidP="003B7EAD">
      <w:pPr>
        <w:pStyle w:val="Balk2"/>
        <w:spacing w:before="0"/>
        <w:rPr>
          <w:rFonts w:ascii="Times New Roman" w:hAnsi="Times New Roman" w:cs="Times New Roman"/>
          <w:b/>
        </w:rPr>
      </w:pPr>
      <w:bookmarkStart w:id="40" w:name="_Toc379297853"/>
      <w:bookmarkStart w:id="41" w:name="_Toc514146668"/>
      <w:r w:rsidRPr="003A549E">
        <w:rPr>
          <w:rStyle w:val="Balk2Char"/>
          <w:rFonts w:ascii="Times New Roman" w:hAnsi="Times New Roman" w:cs="Times New Roman"/>
          <w:b/>
        </w:rPr>
        <w:t>12.2. Gelirlerin Paylaşımı:</w:t>
      </w:r>
      <w:bookmarkEnd w:id="40"/>
      <w:bookmarkEnd w:id="41"/>
      <w:r w:rsidRPr="003A549E">
        <w:rPr>
          <w:rFonts w:ascii="Times New Roman" w:hAnsi="Times New Roman" w:cs="Times New Roman"/>
          <w:b/>
        </w:rPr>
        <w:t xml:space="preserve"> </w:t>
      </w:r>
    </w:p>
    <w:p w:rsidR="003A549E" w:rsidRDefault="003A549E" w:rsidP="003B7EAD">
      <w:pPr>
        <w:spacing w:after="0" w:line="240" w:lineRule="auto"/>
        <w:jc w:val="both"/>
        <w:rPr>
          <w:rFonts w:ascii="Times New Roman" w:hAnsi="Times New Roman" w:cs="Times New Roman"/>
          <w:sz w:val="24"/>
          <w:szCs w:val="24"/>
        </w:rPr>
      </w:pPr>
      <w:r w:rsidRPr="003A549E">
        <w:rPr>
          <w:rFonts w:ascii="Times New Roman" w:hAnsi="Times New Roman" w:cs="Times New Roman"/>
          <w:sz w:val="24"/>
          <w:szCs w:val="24"/>
        </w:rPr>
        <w:t>Üniversite’nin hak sahibi olduğu fikri ve sınai haklara ilişkin olarak yapılan ticarileştirme, projelendirme, know-how transferi gibi faaliyetler sonucunda elde edilen gelirin, vergiler dahil tüm giderler düşüldükten sonra kalan tutarın %70’ i buluş sahibine, %30’ u Üniversite’ nin hesabına aktarılır.</w:t>
      </w:r>
    </w:p>
    <w:p w:rsidR="003B7EAD" w:rsidRDefault="003B7EAD" w:rsidP="003B7EAD">
      <w:pPr>
        <w:spacing w:after="0" w:line="240" w:lineRule="auto"/>
        <w:jc w:val="both"/>
        <w:rPr>
          <w:rFonts w:ascii="Times New Roman" w:hAnsi="Times New Roman" w:cs="Times New Roman"/>
          <w:sz w:val="24"/>
          <w:szCs w:val="24"/>
        </w:rPr>
      </w:pPr>
    </w:p>
    <w:p w:rsidR="003B7EAD" w:rsidRPr="003A549E" w:rsidRDefault="003B7EAD" w:rsidP="003B7EAD">
      <w:pPr>
        <w:spacing w:after="0" w:line="240" w:lineRule="auto"/>
        <w:jc w:val="both"/>
        <w:rPr>
          <w:rFonts w:ascii="Times New Roman" w:hAnsi="Times New Roman" w:cs="Times New Roman"/>
          <w:sz w:val="24"/>
          <w:szCs w:val="24"/>
        </w:rPr>
      </w:pPr>
      <w:r w:rsidRPr="003A549E">
        <w:rPr>
          <w:rStyle w:val="Balk2Char"/>
          <w:rFonts w:ascii="Times New Roman" w:hAnsi="Times New Roman" w:cs="Times New Roman"/>
          <w:b/>
        </w:rPr>
        <w:t>Gizlilik</w:t>
      </w:r>
    </w:p>
    <w:p w:rsidR="003A549E" w:rsidRDefault="003A549E" w:rsidP="003B7EAD">
      <w:pPr>
        <w:pStyle w:val="Balk2"/>
        <w:spacing w:before="0"/>
        <w:jc w:val="both"/>
        <w:rPr>
          <w:rFonts w:ascii="Times New Roman" w:hAnsi="Times New Roman" w:cs="Times New Roman"/>
        </w:rPr>
      </w:pPr>
      <w:bookmarkStart w:id="42" w:name="_Toc379297857"/>
      <w:bookmarkStart w:id="43" w:name="_Toc514146669"/>
      <w:r w:rsidRPr="003A549E">
        <w:rPr>
          <w:rStyle w:val="Balk2Char"/>
          <w:rFonts w:ascii="Times New Roman" w:hAnsi="Times New Roman" w:cs="Times New Roman"/>
          <w:b/>
        </w:rPr>
        <w:t>Madde 13 –</w:t>
      </w:r>
      <w:bookmarkEnd w:id="42"/>
      <w:bookmarkEnd w:id="43"/>
      <w:r w:rsidRPr="003A549E">
        <w:rPr>
          <w:rFonts w:ascii="Times New Roman" w:hAnsi="Times New Roman" w:cs="Times New Roman"/>
        </w:rPr>
        <w:t>Üniversite öğretim elemanları, öğrenciler ve diğer çalışanlar, hizmet buluşu serbest buluş niteliği kazanmamış ise buluşu gizli tutmakla yükümlüdür. Buluşun TTO’ ya bildirimi sırasında Gizlilik Sözleşmesi imzalanır.</w:t>
      </w:r>
    </w:p>
    <w:p w:rsidR="003B7EAD" w:rsidRPr="003B7EAD" w:rsidRDefault="003B7EAD" w:rsidP="003B7EAD">
      <w:pPr>
        <w:spacing w:after="0" w:line="240" w:lineRule="auto"/>
        <w:rPr>
          <w:lang w:eastAsia="tr-TR"/>
        </w:rPr>
      </w:pPr>
    </w:p>
    <w:p w:rsidR="003A549E" w:rsidRDefault="003A549E" w:rsidP="003B7EAD">
      <w:pPr>
        <w:shd w:val="clear" w:color="auto" w:fill="FFFFFF"/>
        <w:spacing w:after="0" w:line="240" w:lineRule="auto"/>
        <w:ind w:right="19"/>
        <w:jc w:val="both"/>
        <w:rPr>
          <w:rFonts w:ascii="Times New Roman" w:hAnsi="Times New Roman" w:cs="Times New Roman"/>
          <w:sz w:val="24"/>
          <w:szCs w:val="24"/>
        </w:rPr>
      </w:pPr>
      <w:r w:rsidRPr="003A549E">
        <w:rPr>
          <w:rFonts w:ascii="Times New Roman" w:hAnsi="Times New Roman" w:cs="Times New Roman"/>
          <w:sz w:val="24"/>
          <w:szCs w:val="24"/>
        </w:rPr>
        <w:t>Buluştan haberi olan ilgili kişiler de buluşu başkalarına açıklayamaz ve buluş konusundan yararlanamaz. Fikri ve Sınai Haklar kapsamındaki diğer fikir ürünleri için de, her fikir ürününün kendine özgü yapısına uygun olarak, benzer kurallar uygulanır.</w:t>
      </w:r>
    </w:p>
    <w:p w:rsidR="003B7EAD" w:rsidRDefault="003B7EAD" w:rsidP="003B7EAD">
      <w:pPr>
        <w:shd w:val="clear" w:color="auto" w:fill="FFFFFF"/>
        <w:spacing w:after="0" w:line="240" w:lineRule="auto"/>
        <w:ind w:right="19"/>
        <w:jc w:val="both"/>
        <w:rPr>
          <w:rFonts w:ascii="Times New Roman" w:hAnsi="Times New Roman" w:cs="Times New Roman"/>
          <w:sz w:val="24"/>
          <w:szCs w:val="24"/>
        </w:rPr>
      </w:pPr>
    </w:p>
    <w:p w:rsidR="003B7EAD" w:rsidRPr="003B7EAD" w:rsidRDefault="003B7EAD" w:rsidP="003B7EAD">
      <w:pPr>
        <w:shd w:val="clear" w:color="auto" w:fill="FFFFFF"/>
        <w:spacing w:after="0" w:line="240" w:lineRule="auto"/>
        <w:ind w:right="19"/>
        <w:jc w:val="both"/>
        <w:rPr>
          <w:rFonts w:ascii="Times New Roman" w:hAnsi="Times New Roman" w:cs="Times New Roman"/>
          <w:sz w:val="24"/>
          <w:szCs w:val="24"/>
        </w:rPr>
      </w:pPr>
      <w:r w:rsidRPr="003B7EAD">
        <w:rPr>
          <w:rFonts w:ascii="Times New Roman" w:hAnsi="Times New Roman" w:cs="Times New Roman"/>
          <w:b/>
          <w:sz w:val="24"/>
          <w:szCs w:val="24"/>
        </w:rPr>
        <w:t>Üniversite Haklarından Feragat</w:t>
      </w:r>
    </w:p>
    <w:p w:rsidR="003A549E" w:rsidRDefault="003A549E" w:rsidP="003B7EAD">
      <w:pPr>
        <w:pStyle w:val="Balk2"/>
        <w:spacing w:before="0"/>
        <w:jc w:val="both"/>
        <w:rPr>
          <w:rFonts w:ascii="Times New Roman" w:hAnsi="Times New Roman" w:cs="Times New Roman"/>
        </w:rPr>
      </w:pPr>
      <w:bookmarkStart w:id="44" w:name="_Toc379297858"/>
      <w:bookmarkStart w:id="45" w:name="_Toc514146670"/>
      <w:r w:rsidRPr="003A549E">
        <w:rPr>
          <w:rFonts w:ascii="Times New Roman" w:hAnsi="Times New Roman" w:cs="Times New Roman"/>
          <w:b/>
        </w:rPr>
        <w:t>Madde 14 -</w:t>
      </w:r>
      <w:bookmarkEnd w:id="44"/>
      <w:bookmarkEnd w:id="45"/>
      <w:r w:rsidRPr="003A549E">
        <w:rPr>
          <w:rFonts w:ascii="Times New Roman" w:hAnsi="Times New Roman" w:cs="Times New Roman"/>
        </w:rPr>
        <w:t xml:space="preserve">Üniversite, bildirimi yapılan fikir ürününün Üniversite lehine korunmamasına karar vermesi durumunda, fikir ürünü sahipleri lehine feragat eder.  </w:t>
      </w:r>
    </w:p>
    <w:p w:rsidR="003B7EAD" w:rsidRPr="003B7EAD" w:rsidRDefault="003B7EAD" w:rsidP="003B7EAD">
      <w:pPr>
        <w:spacing w:after="0" w:line="240" w:lineRule="auto"/>
        <w:jc w:val="both"/>
        <w:rPr>
          <w:lang w:eastAsia="tr-TR"/>
        </w:rPr>
      </w:pPr>
    </w:p>
    <w:p w:rsidR="003B7EAD" w:rsidRPr="003B7EAD" w:rsidRDefault="003B7EAD" w:rsidP="003B7EAD">
      <w:pPr>
        <w:spacing w:after="0" w:line="240" w:lineRule="auto"/>
        <w:rPr>
          <w:sz w:val="24"/>
          <w:szCs w:val="24"/>
          <w:lang w:eastAsia="tr-TR"/>
        </w:rPr>
      </w:pPr>
      <w:r w:rsidRPr="003B7EAD">
        <w:rPr>
          <w:rFonts w:ascii="Times New Roman" w:hAnsi="Times New Roman" w:cs="Times New Roman"/>
          <w:b/>
          <w:sz w:val="24"/>
          <w:szCs w:val="24"/>
        </w:rPr>
        <w:t>Yürürlükten Kaldırılan Yönerge</w:t>
      </w:r>
    </w:p>
    <w:p w:rsidR="00434CAD" w:rsidRDefault="00434CAD" w:rsidP="003B7EAD">
      <w:pPr>
        <w:pStyle w:val="Balk2"/>
        <w:spacing w:before="0"/>
        <w:rPr>
          <w:rFonts w:ascii="Times New Roman" w:hAnsi="Times New Roman" w:cs="Times New Roman"/>
        </w:rPr>
      </w:pPr>
      <w:r w:rsidRPr="003A549E">
        <w:rPr>
          <w:rFonts w:ascii="Times New Roman" w:hAnsi="Times New Roman" w:cs="Times New Roman"/>
          <w:b/>
        </w:rPr>
        <w:t>Madde 15 –</w:t>
      </w:r>
      <w:r w:rsidR="0001630D" w:rsidRPr="0001630D">
        <w:rPr>
          <w:rFonts w:ascii="Times New Roman" w:hAnsi="Times New Roman" w:cs="Times New Roman"/>
        </w:rPr>
        <w:t>Bu Yönerge ile 10.04.2014 tarih ve 2014/12 sayılı Mütevelli Heyet Kararı ile kabul edilmiş olan “Çankaya Üniversitesi Fikri Haklar Yönergesi” yürürlükten kaldırılmıştır.</w:t>
      </w:r>
    </w:p>
    <w:p w:rsidR="003B7EAD" w:rsidRPr="003A549E" w:rsidRDefault="003B7EAD" w:rsidP="003B7EAD">
      <w:pPr>
        <w:spacing w:after="0" w:line="240" w:lineRule="auto"/>
        <w:rPr>
          <w:rFonts w:ascii="Times New Roman" w:hAnsi="Times New Roman" w:cs="Times New Roman"/>
          <w:sz w:val="24"/>
          <w:szCs w:val="24"/>
        </w:rPr>
      </w:pPr>
    </w:p>
    <w:p w:rsidR="003B7EAD" w:rsidRDefault="003B7EAD" w:rsidP="003B7EAD">
      <w:pPr>
        <w:pStyle w:val="Balk2"/>
        <w:spacing w:before="0"/>
        <w:rPr>
          <w:rFonts w:ascii="Times New Roman" w:hAnsi="Times New Roman" w:cs="Times New Roman"/>
          <w:b/>
        </w:rPr>
      </w:pPr>
      <w:bookmarkStart w:id="46" w:name="_Toc379297859"/>
      <w:bookmarkStart w:id="47" w:name="_Toc514146671"/>
      <w:r>
        <w:rPr>
          <w:rFonts w:ascii="Times New Roman" w:hAnsi="Times New Roman" w:cs="Times New Roman"/>
          <w:b/>
        </w:rPr>
        <w:lastRenderedPageBreak/>
        <w:t xml:space="preserve">Yürürlük </w:t>
      </w:r>
    </w:p>
    <w:p w:rsidR="0001630D" w:rsidRDefault="00434CAD" w:rsidP="003B7EAD">
      <w:pPr>
        <w:pStyle w:val="Balk2"/>
        <w:spacing w:before="0"/>
        <w:rPr>
          <w:rFonts w:ascii="Times New Roman" w:hAnsi="Times New Roman" w:cs="Times New Roman"/>
        </w:rPr>
      </w:pPr>
      <w:r>
        <w:rPr>
          <w:rFonts w:ascii="Times New Roman" w:hAnsi="Times New Roman" w:cs="Times New Roman"/>
          <w:b/>
        </w:rPr>
        <w:t>Madde 16</w:t>
      </w:r>
      <w:r w:rsidR="003A549E" w:rsidRPr="003A549E">
        <w:rPr>
          <w:rFonts w:ascii="Times New Roman" w:hAnsi="Times New Roman" w:cs="Times New Roman"/>
          <w:b/>
        </w:rPr>
        <w:t xml:space="preserve"> –</w:t>
      </w:r>
      <w:bookmarkEnd w:id="46"/>
      <w:bookmarkEnd w:id="47"/>
      <w:r w:rsidR="0001630D" w:rsidRPr="0001630D">
        <w:rPr>
          <w:rFonts w:ascii="Times New Roman" w:hAnsi="Times New Roman" w:cs="Times New Roman"/>
        </w:rPr>
        <w:t>Üniversite Senatosu tarafından kabul edilen bu yönerge Mütevelli Heyetinin onayladığı tarihte yürürlüğe girer.</w:t>
      </w:r>
      <w:r w:rsidR="0001630D">
        <w:rPr>
          <w:rFonts w:ascii="Times New Roman" w:hAnsi="Times New Roman" w:cs="Times New Roman"/>
        </w:rPr>
        <w:t xml:space="preserve"> </w:t>
      </w:r>
    </w:p>
    <w:p w:rsidR="003B7EAD" w:rsidRPr="003B7EAD" w:rsidRDefault="003B7EAD" w:rsidP="003B7EAD">
      <w:pPr>
        <w:spacing w:after="0" w:line="240" w:lineRule="auto"/>
        <w:rPr>
          <w:lang w:eastAsia="tr-TR"/>
        </w:rPr>
      </w:pPr>
    </w:p>
    <w:p w:rsidR="003B7EAD" w:rsidRDefault="003B7EAD" w:rsidP="003B7EAD">
      <w:pPr>
        <w:pStyle w:val="Balk2"/>
        <w:spacing w:before="0"/>
        <w:rPr>
          <w:rFonts w:ascii="Times New Roman" w:hAnsi="Times New Roman" w:cs="Times New Roman"/>
          <w:b/>
        </w:rPr>
      </w:pPr>
      <w:r>
        <w:rPr>
          <w:rFonts w:ascii="Times New Roman" w:hAnsi="Times New Roman" w:cs="Times New Roman"/>
          <w:b/>
        </w:rPr>
        <w:t xml:space="preserve">Yürütme </w:t>
      </w:r>
    </w:p>
    <w:p w:rsidR="0001630D" w:rsidRDefault="0001630D" w:rsidP="003B7EAD">
      <w:pPr>
        <w:pStyle w:val="Balk2"/>
        <w:spacing w:before="0"/>
        <w:rPr>
          <w:rFonts w:ascii="Times New Roman" w:hAnsi="Times New Roman" w:cs="Times New Roman"/>
        </w:rPr>
      </w:pPr>
      <w:r>
        <w:rPr>
          <w:rFonts w:ascii="Times New Roman" w:hAnsi="Times New Roman" w:cs="Times New Roman"/>
          <w:b/>
        </w:rPr>
        <w:t>Madde 17</w:t>
      </w:r>
      <w:r w:rsidRPr="003A549E">
        <w:rPr>
          <w:rFonts w:ascii="Times New Roman" w:hAnsi="Times New Roman" w:cs="Times New Roman"/>
          <w:b/>
        </w:rPr>
        <w:t xml:space="preserve"> –</w:t>
      </w:r>
      <w:r w:rsidRPr="0001630D">
        <w:rPr>
          <w:rFonts w:ascii="Times New Roman" w:hAnsi="Times New Roman" w:cs="Times New Roman"/>
        </w:rPr>
        <w:t>Bu yönerge Çankaya Üniversitesi Rektörü tarafından yürütülür.</w:t>
      </w:r>
    </w:p>
    <w:p w:rsidR="0001630D" w:rsidRPr="0001630D" w:rsidRDefault="0001630D" w:rsidP="003B7EAD">
      <w:pPr>
        <w:spacing w:after="0" w:line="240" w:lineRule="auto"/>
        <w:rPr>
          <w:rFonts w:ascii="Times New Roman" w:hAnsi="Times New Roman" w:cs="Times New Roman"/>
          <w:sz w:val="24"/>
          <w:szCs w:val="24"/>
        </w:rPr>
      </w:pPr>
    </w:p>
    <w:p w:rsidR="003A549E" w:rsidRPr="003A549E" w:rsidRDefault="003A549E" w:rsidP="003B7EAD">
      <w:pPr>
        <w:pStyle w:val="Balk2"/>
        <w:spacing w:before="0"/>
        <w:rPr>
          <w:rFonts w:ascii="Times New Roman" w:hAnsi="Times New Roman" w:cs="Times New Roman"/>
          <w:b/>
        </w:rPr>
      </w:pPr>
      <w:bookmarkStart w:id="48" w:name="_Toc514146672"/>
      <w:r w:rsidRPr="003A549E">
        <w:rPr>
          <w:rFonts w:ascii="Times New Roman" w:hAnsi="Times New Roman" w:cs="Times New Roman"/>
          <w:b/>
        </w:rPr>
        <w:t>EKLER:</w:t>
      </w:r>
      <w:bookmarkEnd w:id="48"/>
      <w:r w:rsidRPr="003A549E">
        <w:rPr>
          <w:rFonts w:ascii="Times New Roman" w:hAnsi="Times New Roman" w:cs="Times New Roman"/>
          <w:b/>
        </w:rPr>
        <w:t xml:space="preserve"> </w:t>
      </w:r>
    </w:p>
    <w:p w:rsidR="003A549E" w:rsidRPr="003A549E" w:rsidRDefault="003A549E" w:rsidP="003B7EAD">
      <w:pPr>
        <w:pStyle w:val="ListeParagraf"/>
        <w:numPr>
          <w:ilvl w:val="0"/>
          <w:numId w:val="2"/>
        </w:numPr>
        <w:shd w:val="clear" w:color="auto" w:fill="FFFFFF"/>
        <w:spacing w:after="0" w:line="240" w:lineRule="auto"/>
        <w:rPr>
          <w:rFonts w:ascii="Times New Roman" w:hAnsi="Times New Roman" w:cs="Times New Roman"/>
          <w:sz w:val="24"/>
          <w:szCs w:val="24"/>
        </w:rPr>
      </w:pPr>
      <w:r w:rsidRPr="003A549E">
        <w:rPr>
          <w:rFonts w:ascii="Times New Roman" w:hAnsi="Times New Roman" w:cs="Times New Roman"/>
          <w:sz w:val="24"/>
          <w:szCs w:val="24"/>
        </w:rPr>
        <w:t>Ek-1 Çankaya Üniversitesi Buluş Bildirim Formu,</w:t>
      </w:r>
    </w:p>
    <w:p w:rsidR="003A549E" w:rsidRPr="003A549E" w:rsidRDefault="003A549E" w:rsidP="003B7EAD">
      <w:pPr>
        <w:pStyle w:val="ListeParagraf"/>
        <w:numPr>
          <w:ilvl w:val="0"/>
          <w:numId w:val="2"/>
        </w:numPr>
        <w:shd w:val="clear" w:color="auto" w:fill="FFFFFF"/>
        <w:spacing w:after="0" w:line="240" w:lineRule="auto"/>
        <w:rPr>
          <w:rFonts w:ascii="Times New Roman" w:hAnsi="Times New Roman" w:cs="Times New Roman"/>
          <w:sz w:val="24"/>
          <w:szCs w:val="24"/>
        </w:rPr>
      </w:pPr>
      <w:r w:rsidRPr="003A549E">
        <w:rPr>
          <w:rFonts w:ascii="Times New Roman" w:hAnsi="Times New Roman" w:cs="Times New Roman"/>
          <w:sz w:val="24"/>
          <w:szCs w:val="24"/>
        </w:rPr>
        <w:t xml:space="preserve">Ek-2 Çankaya Üniversitesi Teknoloji Transfer Ofisi ve </w:t>
      </w:r>
      <w:r w:rsidR="00115139">
        <w:rPr>
          <w:rFonts w:ascii="Times New Roman" w:hAnsi="Times New Roman" w:cs="Times New Roman"/>
          <w:sz w:val="24"/>
          <w:szCs w:val="24"/>
        </w:rPr>
        <w:t>Buluş Sahibi</w:t>
      </w:r>
      <w:r w:rsidRPr="003A549E">
        <w:rPr>
          <w:rFonts w:ascii="Times New Roman" w:hAnsi="Times New Roman" w:cs="Times New Roman"/>
          <w:sz w:val="24"/>
          <w:szCs w:val="24"/>
        </w:rPr>
        <w:t xml:space="preserve"> Arasında Patentleme ve Patenti Ticarileştirme Sözleşmesi</w:t>
      </w:r>
    </w:p>
    <w:p w:rsidR="003A549E" w:rsidRPr="003A549E" w:rsidRDefault="003A549E" w:rsidP="003B7EAD">
      <w:pPr>
        <w:pStyle w:val="ListeParagraf"/>
        <w:numPr>
          <w:ilvl w:val="0"/>
          <w:numId w:val="2"/>
        </w:numPr>
        <w:shd w:val="clear" w:color="auto" w:fill="FFFFFF"/>
        <w:spacing w:after="0" w:line="240" w:lineRule="auto"/>
        <w:rPr>
          <w:rFonts w:ascii="Times New Roman" w:hAnsi="Times New Roman" w:cs="Times New Roman"/>
          <w:sz w:val="24"/>
          <w:szCs w:val="24"/>
        </w:rPr>
      </w:pPr>
      <w:r w:rsidRPr="003A549E">
        <w:rPr>
          <w:rFonts w:ascii="Times New Roman" w:hAnsi="Times New Roman" w:cs="Times New Roman"/>
          <w:sz w:val="24"/>
          <w:szCs w:val="24"/>
        </w:rPr>
        <w:t>Ek-3 Gizlilik Sözleşmesi</w:t>
      </w:r>
    </w:p>
    <w:p w:rsidR="003A549E" w:rsidRPr="003A549E" w:rsidRDefault="003A549E" w:rsidP="003B7EAD">
      <w:pPr>
        <w:pStyle w:val="ListeParagraf"/>
        <w:numPr>
          <w:ilvl w:val="0"/>
          <w:numId w:val="2"/>
        </w:numPr>
        <w:shd w:val="clear" w:color="auto" w:fill="FFFFFF"/>
        <w:spacing w:after="0" w:line="240" w:lineRule="auto"/>
        <w:rPr>
          <w:rFonts w:ascii="Times New Roman" w:hAnsi="Times New Roman" w:cs="Times New Roman"/>
          <w:sz w:val="24"/>
          <w:szCs w:val="24"/>
        </w:rPr>
      </w:pPr>
      <w:r w:rsidRPr="003A549E">
        <w:rPr>
          <w:rFonts w:ascii="Times New Roman" w:hAnsi="Times New Roman" w:cs="Times New Roman"/>
          <w:sz w:val="24"/>
          <w:szCs w:val="24"/>
        </w:rPr>
        <w:t>Ek-4 Market Analiz Formu</w:t>
      </w:r>
    </w:p>
    <w:p w:rsidR="003A549E" w:rsidRPr="003A549E" w:rsidRDefault="003A549E" w:rsidP="003B7EAD">
      <w:pPr>
        <w:spacing w:after="0" w:line="240" w:lineRule="auto"/>
        <w:rPr>
          <w:rFonts w:ascii="Times New Roman" w:hAnsi="Times New Roman" w:cs="Times New Roman"/>
          <w:sz w:val="24"/>
          <w:szCs w:val="24"/>
        </w:rPr>
      </w:pPr>
    </w:p>
    <w:p w:rsidR="00851540" w:rsidRPr="00A377D1" w:rsidRDefault="00A377D1" w:rsidP="00A377D1">
      <w:pPr>
        <w:spacing w:after="0" w:line="240" w:lineRule="auto"/>
        <w:jc w:val="right"/>
        <w:rPr>
          <w:sz w:val="20"/>
          <w:szCs w:val="18"/>
        </w:rPr>
      </w:pPr>
      <w:r w:rsidRPr="00A377D1">
        <w:rPr>
          <w:sz w:val="20"/>
          <w:szCs w:val="18"/>
        </w:rPr>
        <w:t>Mütevelli Heyet K.T / No:</w:t>
      </w:r>
      <w:r w:rsidR="007A4A2C">
        <w:rPr>
          <w:sz w:val="20"/>
          <w:szCs w:val="18"/>
        </w:rPr>
        <w:t xml:space="preserve"> </w:t>
      </w:r>
      <w:bookmarkStart w:id="49" w:name="_GoBack"/>
      <w:bookmarkEnd w:id="49"/>
      <w:r w:rsidRPr="00A377D1">
        <w:rPr>
          <w:sz w:val="20"/>
          <w:szCs w:val="18"/>
        </w:rPr>
        <w:t xml:space="preserve">2018 </w:t>
      </w:r>
      <w:r w:rsidRPr="00A377D1">
        <w:rPr>
          <w:sz w:val="20"/>
          <w:szCs w:val="18"/>
        </w:rPr>
        <w:t xml:space="preserve">/ </w:t>
      </w:r>
      <w:r w:rsidRPr="00A377D1">
        <w:rPr>
          <w:sz w:val="20"/>
          <w:szCs w:val="18"/>
        </w:rPr>
        <w:t>59</w:t>
      </w:r>
    </w:p>
    <w:p w:rsidR="00A377D1" w:rsidRPr="00A377D1" w:rsidRDefault="00A377D1" w:rsidP="00A377D1">
      <w:pPr>
        <w:spacing w:after="0" w:line="240" w:lineRule="auto"/>
        <w:jc w:val="right"/>
        <w:rPr>
          <w:sz w:val="24"/>
        </w:rPr>
      </w:pPr>
      <w:r w:rsidRPr="00A377D1">
        <w:rPr>
          <w:sz w:val="20"/>
          <w:szCs w:val="18"/>
        </w:rPr>
        <w:t>Güncellenme Tarihi: 29</w:t>
      </w:r>
      <w:r w:rsidR="009E0835">
        <w:rPr>
          <w:sz w:val="20"/>
          <w:szCs w:val="18"/>
        </w:rPr>
        <w:t>-</w:t>
      </w:r>
      <w:r w:rsidRPr="00A377D1">
        <w:rPr>
          <w:sz w:val="20"/>
          <w:szCs w:val="18"/>
        </w:rPr>
        <w:t>11</w:t>
      </w:r>
      <w:r w:rsidR="009E0835">
        <w:rPr>
          <w:sz w:val="20"/>
          <w:szCs w:val="18"/>
        </w:rPr>
        <w:t>-</w:t>
      </w:r>
      <w:r w:rsidRPr="00A377D1">
        <w:rPr>
          <w:sz w:val="20"/>
          <w:szCs w:val="18"/>
        </w:rPr>
        <w:t>2018</w:t>
      </w:r>
    </w:p>
    <w:sectPr w:rsidR="00A377D1" w:rsidRPr="00A377D1" w:rsidSect="007D573B">
      <w:footerReference w:type="default" r:id="rId7"/>
      <w:pgSz w:w="11906" w:h="16838"/>
      <w:pgMar w:top="1134" w:right="1134" w:bottom="709" w:left="1134" w:header="709" w:footer="408" w:gutter="0"/>
      <w:pgNumType w:chapStyle="3" w:chapSep="e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EC3" w:rsidRDefault="00B00EC3">
      <w:pPr>
        <w:spacing w:after="0" w:line="240" w:lineRule="auto"/>
      </w:pPr>
      <w:r>
        <w:separator/>
      </w:r>
    </w:p>
  </w:endnote>
  <w:endnote w:type="continuationSeparator" w:id="0">
    <w:p w:rsidR="00B00EC3" w:rsidRDefault="00B0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860983"/>
      <w:docPartObj>
        <w:docPartGallery w:val="Page Numbers (Bottom of Page)"/>
        <w:docPartUnique/>
      </w:docPartObj>
    </w:sdtPr>
    <w:sdtEndPr>
      <w:rPr>
        <w:noProof/>
      </w:rPr>
    </w:sdtEndPr>
    <w:sdtContent>
      <w:p w:rsidR="002D1B0C" w:rsidRDefault="003A549E">
        <w:pPr>
          <w:pStyle w:val="AltBilgi"/>
          <w:jc w:val="right"/>
        </w:pPr>
        <w:r>
          <w:fldChar w:fldCharType="begin"/>
        </w:r>
        <w:r>
          <w:instrText xml:space="preserve"> PAGE   \* MERGEFORMAT </w:instrText>
        </w:r>
        <w:r>
          <w:fldChar w:fldCharType="separate"/>
        </w:r>
        <w:r w:rsidR="007A4A2C">
          <w:rPr>
            <w:noProof/>
          </w:rPr>
          <w:t>6</w:t>
        </w:r>
        <w:r>
          <w:rPr>
            <w:noProof/>
          </w:rPr>
          <w:fldChar w:fldCharType="end"/>
        </w:r>
      </w:p>
    </w:sdtContent>
  </w:sdt>
  <w:p w:rsidR="002D1B0C" w:rsidRDefault="003A549E" w:rsidP="001638ED">
    <w:pPr>
      <w:pStyle w:val="AltBilgi"/>
      <w:tabs>
        <w:tab w:val="left" w:pos="6576"/>
      </w:tabs>
    </w:pP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EC3" w:rsidRDefault="00B00EC3">
      <w:pPr>
        <w:spacing w:after="0" w:line="240" w:lineRule="auto"/>
      </w:pPr>
      <w:r>
        <w:separator/>
      </w:r>
    </w:p>
  </w:footnote>
  <w:footnote w:type="continuationSeparator" w:id="0">
    <w:p w:rsidR="00B00EC3" w:rsidRDefault="00B0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17591"/>
    <w:multiLevelType w:val="hybridMultilevel"/>
    <w:tmpl w:val="FA9CC9A0"/>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7AE6AAA"/>
    <w:multiLevelType w:val="hybridMultilevel"/>
    <w:tmpl w:val="9F6C8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A46C41"/>
    <w:multiLevelType w:val="hybridMultilevel"/>
    <w:tmpl w:val="B68EF102"/>
    <w:lvl w:ilvl="0" w:tplc="041F0001">
      <w:start w:val="1"/>
      <w:numFmt w:val="bullet"/>
      <w:lvlText w:val=""/>
      <w:lvlJc w:val="left"/>
      <w:pPr>
        <w:ind w:left="927" w:hanging="360"/>
      </w:pPr>
      <w:rPr>
        <w:rFonts w:ascii="Symbol" w:hAnsi="Symbol"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4A9F6EDC"/>
    <w:multiLevelType w:val="hybridMultilevel"/>
    <w:tmpl w:val="D2963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CA0106"/>
    <w:multiLevelType w:val="multilevel"/>
    <w:tmpl w:val="BB6C8C86"/>
    <w:lvl w:ilvl="0">
      <w:start w:val="1"/>
      <w:numFmt w:val="decimal"/>
      <w:pStyle w:val="Balk1"/>
      <w:lvlText w:val="%1."/>
      <w:lvlJc w:val="left"/>
      <w:pPr>
        <w:tabs>
          <w:tab w:val="num" w:pos="360"/>
        </w:tabs>
        <w:ind w:left="360" w:hanging="360"/>
      </w:pPr>
      <w:rPr>
        <w:rFonts w:asciiTheme="minorHAnsi" w:hAnsiTheme="minorHAnsi" w:cstheme="minorHAnsi" w:hint="default"/>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9E"/>
    <w:rsid w:val="0001388A"/>
    <w:rsid w:val="0001630D"/>
    <w:rsid w:val="000D37ED"/>
    <w:rsid w:val="00115139"/>
    <w:rsid w:val="0015428A"/>
    <w:rsid w:val="00220D3C"/>
    <w:rsid w:val="00366DDC"/>
    <w:rsid w:val="003A549E"/>
    <w:rsid w:val="003B7EAD"/>
    <w:rsid w:val="00434CAD"/>
    <w:rsid w:val="005A7087"/>
    <w:rsid w:val="005D658E"/>
    <w:rsid w:val="007A4A2C"/>
    <w:rsid w:val="007D573B"/>
    <w:rsid w:val="00836224"/>
    <w:rsid w:val="00851540"/>
    <w:rsid w:val="009E0835"/>
    <w:rsid w:val="00A377D1"/>
    <w:rsid w:val="00A94B40"/>
    <w:rsid w:val="00A94D64"/>
    <w:rsid w:val="00B00EC3"/>
    <w:rsid w:val="00B45371"/>
    <w:rsid w:val="00B85246"/>
    <w:rsid w:val="00C46039"/>
    <w:rsid w:val="00CD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D1F5"/>
  <w15:chartTrackingRefBased/>
  <w15:docId w15:val="{8811363E-E082-40E0-A09A-F1805C8E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49E"/>
    <w:pPr>
      <w:spacing w:after="200" w:line="276" w:lineRule="auto"/>
    </w:pPr>
  </w:style>
  <w:style w:type="paragraph" w:styleId="Balk1">
    <w:name w:val="heading 1"/>
    <w:basedOn w:val="Normal"/>
    <w:next w:val="Normal"/>
    <w:link w:val="Balk1Char"/>
    <w:qFormat/>
    <w:rsid w:val="003A549E"/>
    <w:pPr>
      <w:keepNext/>
      <w:numPr>
        <w:numId w:val="1"/>
      </w:numPr>
      <w:spacing w:before="240" w:after="60" w:line="240" w:lineRule="auto"/>
      <w:jc w:val="both"/>
      <w:outlineLvl w:val="0"/>
    </w:pPr>
    <w:rPr>
      <w:rFonts w:ascii="Arial" w:eastAsia="PMingLiU" w:hAnsi="Arial" w:cs="Times New Roman"/>
      <w:b/>
      <w:kern w:val="28"/>
      <w:sz w:val="28"/>
      <w:szCs w:val="20"/>
      <w:lang w:val="en-GB" w:eastAsia="en-GB"/>
    </w:rPr>
  </w:style>
  <w:style w:type="paragraph" w:styleId="Balk2">
    <w:name w:val="heading 2"/>
    <w:basedOn w:val="Balk3"/>
    <w:next w:val="Normal"/>
    <w:link w:val="Balk2Char"/>
    <w:qFormat/>
    <w:rsid w:val="003A549E"/>
    <w:pPr>
      <w:outlineLvl w:val="1"/>
    </w:pPr>
    <w:rPr>
      <w:rFonts w:eastAsiaTheme="minorHAnsi"/>
    </w:rPr>
  </w:style>
  <w:style w:type="paragraph" w:styleId="Balk3">
    <w:name w:val="heading 3"/>
    <w:basedOn w:val="Normal"/>
    <w:next w:val="Normal"/>
    <w:link w:val="Balk3Char"/>
    <w:uiPriority w:val="9"/>
    <w:unhideWhenUsed/>
    <w:qFormat/>
    <w:rsid w:val="003A549E"/>
    <w:pPr>
      <w:keepNext/>
      <w:keepLines/>
      <w:spacing w:before="200" w:after="0" w:line="240" w:lineRule="auto"/>
      <w:outlineLvl w:val="2"/>
    </w:pPr>
    <w:rPr>
      <w:rFonts w:ascii="Calibri" w:eastAsiaTheme="majorEastAsia" w:hAnsi="Calibri" w:cstheme="majorBidi"/>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A549E"/>
    <w:rPr>
      <w:rFonts w:ascii="Arial" w:eastAsia="PMingLiU" w:hAnsi="Arial" w:cs="Times New Roman"/>
      <w:b/>
      <w:kern w:val="28"/>
      <w:sz w:val="28"/>
      <w:szCs w:val="20"/>
      <w:lang w:val="en-GB" w:eastAsia="en-GB"/>
    </w:rPr>
  </w:style>
  <w:style w:type="character" w:customStyle="1" w:styleId="Balk2Char">
    <w:name w:val="Başlık 2 Char"/>
    <w:basedOn w:val="VarsaylanParagrafYazTipi"/>
    <w:link w:val="Balk2"/>
    <w:rsid w:val="003A549E"/>
    <w:rPr>
      <w:rFonts w:ascii="Calibri" w:hAnsi="Calibri" w:cstheme="majorBidi"/>
      <w:bCs/>
      <w:sz w:val="24"/>
      <w:szCs w:val="24"/>
      <w:lang w:eastAsia="tr-TR"/>
    </w:rPr>
  </w:style>
  <w:style w:type="character" w:customStyle="1" w:styleId="Balk3Char">
    <w:name w:val="Başlık 3 Char"/>
    <w:basedOn w:val="VarsaylanParagrafYazTipi"/>
    <w:link w:val="Balk3"/>
    <w:uiPriority w:val="9"/>
    <w:rsid w:val="003A549E"/>
    <w:rPr>
      <w:rFonts w:ascii="Calibri" w:eastAsiaTheme="majorEastAsia" w:hAnsi="Calibri" w:cstheme="majorBidi"/>
      <w:bCs/>
      <w:sz w:val="24"/>
      <w:szCs w:val="24"/>
      <w:lang w:eastAsia="tr-TR"/>
    </w:rPr>
  </w:style>
  <w:style w:type="paragraph" w:styleId="ListeParagraf">
    <w:name w:val="List Paragraph"/>
    <w:basedOn w:val="Normal"/>
    <w:uiPriority w:val="34"/>
    <w:qFormat/>
    <w:rsid w:val="003A549E"/>
    <w:pPr>
      <w:ind w:left="720"/>
      <w:contextualSpacing/>
    </w:pPr>
  </w:style>
  <w:style w:type="paragraph" w:styleId="NormalWeb">
    <w:name w:val="Normal (Web)"/>
    <w:basedOn w:val="Normal"/>
    <w:uiPriority w:val="99"/>
    <w:rsid w:val="003A54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3A54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549E"/>
  </w:style>
  <w:style w:type="paragraph" w:customStyle="1" w:styleId="Default">
    <w:name w:val="Default"/>
    <w:rsid w:val="003A549E"/>
    <w:pPr>
      <w:autoSpaceDE w:val="0"/>
      <w:autoSpaceDN w:val="0"/>
      <w:adjustRightInd w:val="0"/>
      <w:spacing w:after="0" w:line="240" w:lineRule="auto"/>
    </w:pPr>
    <w:rPr>
      <w:rFonts w:ascii="Times New Roman" w:eastAsia="Cambria" w:hAnsi="Times New Roman" w:cs="Times New Roman"/>
      <w:color w:val="000000"/>
      <w:sz w:val="24"/>
      <w:szCs w:val="24"/>
      <w:lang w:eastAsia="tr-TR"/>
    </w:rPr>
  </w:style>
  <w:style w:type="paragraph" w:customStyle="1" w:styleId="p16">
    <w:name w:val="p16"/>
    <w:basedOn w:val="Normal"/>
    <w:rsid w:val="003A549E"/>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362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6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2496</Words>
  <Characters>14229</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TTO</dc:creator>
  <cp:keywords/>
  <dc:description/>
  <cp:lastModifiedBy>Murat Çelik</cp:lastModifiedBy>
  <cp:revision>8</cp:revision>
  <cp:lastPrinted>2018-11-07T12:14:00Z</cp:lastPrinted>
  <dcterms:created xsi:type="dcterms:W3CDTF">2018-11-08T07:05:00Z</dcterms:created>
  <dcterms:modified xsi:type="dcterms:W3CDTF">2018-11-29T11:43:00Z</dcterms:modified>
</cp:coreProperties>
</file>